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A6" w:rsidRPr="005321AF" w:rsidRDefault="009A19DE" w:rsidP="004A6311">
      <w:pPr>
        <w:rPr>
          <w:rFonts w:asciiTheme="minorHAnsi" w:hAnsiTheme="minorHAnsi" w:cs="Arial"/>
          <w:b/>
          <w:bCs/>
          <w:sz w:val="22"/>
          <w:szCs w:val="22"/>
          <w:lang w:eastAsia="en-GB"/>
        </w:rPr>
      </w:pPr>
      <w:r w:rsidRPr="005321AF">
        <w:rPr>
          <w:rFonts w:asciiTheme="minorHAnsi" w:hAnsiTheme="minorHAnsi" w:cs="Arial"/>
          <w:b/>
          <w:bCs/>
          <w:sz w:val="22"/>
          <w:szCs w:val="22"/>
          <w:lang w:eastAsia="en-GB"/>
        </w:rPr>
        <w:t xml:space="preserve">U-turns in </w:t>
      </w:r>
      <w:r w:rsidR="00ED3299" w:rsidRPr="005321AF">
        <w:rPr>
          <w:rFonts w:asciiTheme="minorHAnsi" w:hAnsiTheme="minorHAnsi" w:cs="Arial"/>
          <w:b/>
          <w:bCs/>
          <w:sz w:val="22"/>
          <w:szCs w:val="22"/>
          <w:lang w:eastAsia="en-GB"/>
        </w:rPr>
        <w:t>housing trends</w:t>
      </w:r>
      <w:r w:rsidR="00BD55F7" w:rsidRPr="005321AF">
        <w:rPr>
          <w:rFonts w:asciiTheme="minorHAnsi" w:hAnsiTheme="minorHAnsi" w:cs="Arial"/>
          <w:b/>
          <w:bCs/>
          <w:sz w:val="22"/>
          <w:szCs w:val="22"/>
          <w:lang w:eastAsia="en-GB"/>
        </w:rPr>
        <w:t xml:space="preserve">: </w:t>
      </w:r>
      <w:r w:rsidR="00ED3299" w:rsidRPr="005321AF">
        <w:rPr>
          <w:rFonts w:asciiTheme="minorHAnsi" w:hAnsiTheme="minorHAnsi" w:cs="Arial"/>
          <w:b/>
          <w:bCs/>
          <w:sz w:val="22"/>
          <w:szCs w:val="22"/>
          <w:lang w:eastAsia="en-GB"/>
        </w:rPr>
        <w:t xml:space="preserve"> </w:t>
      </w:r>
      <w:r w:rsidR="007C1066" w:rsidRPr="005321AF">
        <w:rPr>
          <w:rFonts w:asciiTheme="minorHAnsi" w:hAnsiTheme="minorHAnsi" w:cs="Arial"/>
          <w:b/>
          <w:bCs/>
          <w:sz w:val="22"/>
          <w:szCs w:val="22"/>
          <w:lang w:eastAsia="en-GB"/>
        </w:rPr>
        <w:t xml:space="preserve">the end of </w:t>
      </w:r>
      <w:r w:rsidR="00ED3299" w:rsidRPr="005321AF">
        <w:rPr>
          <w:rFonts w:asciiTheme="minorHAnsi" w:hAnsiTheme="minorHAnsi" w:cs="Arial"/>
          <w:b/>
          <w:bCs/>
          <w:sz w:val="22"/>
          <w:szCs w:val="22"/>
          <w:lang w:eastAsia="en-GB"/>
        </w:rPr>
        <w:t>socio-</w:t>
      </w:r>
      <w:proofErr w:type="spellStart"/>
      <w:r w:rsidR="00ED3299" w:rsidRPr="005321AF">
        <w:rPr>
          <w:rFonts w:asciiTheme="minorHAnsi" w:hAnsiTheme="minorHAnsi" w:cs="Arial"/>
          <w:b/>
          <w:bCs/>
          <w:sz w:val="22"/>
          <w:szCs w:val="22"/>
          <w:lang w:eastAsia="en-GB"/>
        </w:rPr>
        <w:t>tenurial</w:t>
      </w:r>
      <w:proofErr w:type="spellEnd"/>
      <w:r w:rsidR="00ED3299" w:rsidRPr="005321AF">
        <w:rPr>
          <w:rFonts w:asciiTheme="minorHAnsi" w:hAnsiTheme="minorHAnsi" w:cs="Arial"/>
          <w:b/>
          <w:bCs/>
          <w:sz w:val="22"/>
          <w:szCs w:val="22"/>
          <w:lang w:eastAsia="en-GB"/>
        </w:rPr>
        <w:t xml:space="preserve"> polar</w:t>
      </w:r>
      <w:r w:rsidR="007C1066" w:rsidRPr="005321AF">
        <w:rPr>
          <w:rFonts w:asciiTheme="minorHAnsi" w:hAnsiTheme="minorHAnsi" w:cs="Arial"/>
          <w:b/>
          <w:bCs/>
          <w:sz w:val="22"/>
          <w:szCs w:val="22"/>
          <w:lang w:eastAsia="en-GB"/>
        </w:rPr>
        <w:t>isation?</w:t>
      </w:r>
    </w:p>
    <w:p w:rsidR="005F0FEC" w:rsidRDefault="009A19DE" w:rsidP="00193BA6">
      <w:pPr>
        <w:spacing w:before="0" w:after="0"/>
        <w:rPr>
          <w:rFonts w:ascii="Calibri" w:hAnsi="Calibri"/>
          <w:color w:val="000000"/>
          <w:sz w:val="22"/>
          <w:szCs w:val="22"/>
          <w:lang w:val="en-US"/>
        </w:rPr>
      </w:pPr>
      <w:r>
        <w:rPr>
          <w:rFonts w:ascii="Calibri" w:hAnsi="Calibri"/>
          <w:color w:val="000000"/>
          <w:sz w:val="22"/>
          <w:szCs w:val="22"/>
          <w:lang w:val="en-US"/>
        </w:rPr>
        <w:t xml:space="preserve">History doesn’t always go in one direction, and seemingly inexorable </w:t>
      </w:r>
      <w:r w:rsidR="00D50563">
        <w:rPr>
          <w:rFonts w:ascii="Calibri" w:hAnsi="Calibri"/>
          <w:color w:val="000000"/>
          <w:sz w:val="22"/>
          <w:szCs w:val="22"/>
          <w:lang w:val="en-US"/>
        </w:rPr>
        <w:t>social and stru</w:t>
      </w:r>
      <w:r>
        <w:rPr>
          <w:rFonts w:ascii="Calibri" w:hAnsi="Calibri"/>
          <w:color w:val="000000"/>
          <w:sz w:val="22"/>
          <w:szCs w:val="22"/>
          <w:lang w:val="en-US"/>
        </w:rPr>
        <w:t>ct</w:t>
      </w:r>
      <w:r w:rsidR="00D50563">
        <w:rPr>
          <w:rFonts w:ascii="Calibri" w:hAnsi="Calibri"/>
          <w:color w:val="000000"/>
          <w:sz w:val="22"/>
          <w:szCs w:val="22"/>
          <w:lang w:val="en-US"/>
        </w:rPr>
        <w:t>u</w:t>
      </w:r>
      <w:r>
        <w:rPr>
          <w:rFonts w:ascii="Calibri" w:hAnsi="Calibri"/>
          <w:color w:val="000000"/>
          <w:sz w:val="22"/>
          <w:szCs w:val="22"/>
          <w:lang w:val="en-US"/>
        </w:rPr>
        <w:t xml:space="preserve">ral trends can reverse. </w:t>
      </w:r>
      <w:r w:rsidR="00A1715E">
        <w:rPr>
          <w:rFonts w:ascii="Calibri" w:hAnsi="Calibri"/>
          <w:color w:val="000000"/>
          <w:sz w:val="22"/>
          <w:szCs w:val="22"/>
          <w:lang w:val="en-US"/>
        </w:rPr>
        <w:t>The</w:t>
      </w:r>
      <w:r w:rsidR="007A4CE8">
        <w:rPr>
          <w:rFonts w:ascii="Calibri" w:hAnsi="Calibri"/>
          <w:color w:val="000000"/>
          <w:sz w:val="22"/>
          <w:szCs w:val="22"/>
          <w:lang w:val="en-US"/>
        </w:rPr>
        <w:t xml:space="preserve"> housing system has made several </w:t>
      </w:r>
      <w:r w:rsidR="00A1715E">
        <w:rPr>
          <w:rFonts w:ascii="Calibri" w:hAnsi="Calibri"/>
          <w:color w:val="000000"/>
          <w:sz w:val="22"/>
          <w:szCs w:val="22"/>
          <w:lang w:val="en-US"/>
        </w:rPr>
        <w:t xml:space="preserve">important U-turns in </w:t>
      </w:r>
      <w:r w:rsidR="007A4CE8">
        <w:rPr>
          <w:rFonts w:ascii="Calibri" w:hAnsi="Calibri"/>
          <w:color w:val="000000"/>
          <w:sz w:val="22"/>
          <w:szCs w:val="22"/>
          <w:lang w:val="en-US"/>
        </w:rPr>
        <w:t>recent de</w:t>
      </w:r>
      <w:r w:rsidR="004217DE">
        <w:rPr>
          <w:rFonts w:ascii="Calibri" w:hAnsi="Calibri"/>
          <w:color w:val="000000"/>
          <w:sz w:val="22"/>
          <w:szCs w:val="22"/>
          <w:lang w:val="en-US"/>
        </w:rPr>
        <w:t>ca</w:t>
      </w:r>
      <w:r w:rsidR="007A4CE8">
        <w:rPr>
          <w:rFonts w:ascii="Calibri" w:hAnsi="Calibri"/>
          <w:color w:val="000000"/>
          <w:sz w:val="22"/>
          <w:szCs w:val="22"/>
          <w:lang w:val="en-US"/>
        </w:rPr>
        <w:t>des</w:t>
      </w:r>
      <w:r w:rsidR="00D50563">
        <w:rPr>
          <w:rFonts w:ascii="Calibri" w:hAnsi="Calibri"/>
          <w:color w:val="000000"/>
          <w:sz w:val="22"/>
          <w:szCs w:val="22"/>
          <w:lang w:val="en-US"/>
        </w:rPr>
        <w:t xml:space="preserve">. </w:t>
      </w:r>
      <w:r>
        <w:rPr>
          <w:rFonts w:ascii="Calibri" w:hAnsi="Calibri"/>
          <w:color w:val="000000"/>
          <w:sz w:val="22"/>
          <w:szCs w:val="22"/>
          <w:lang w:val="en-US"/>
        </w:rPr>
        <w:t>Aft</w:t>
      </w:r>
      <w:r w:rsidR="00A1715E">
        <w:rPr>
          <w:rFonts w:ascii="Calibri" w:hAnsi="Calibri"/>
          <w:color w:val="000000"/>
          <w:sz w:val="22"/>
          <w:szCs w:val="22"/>
          <w:lang w:val="en-US"/>
        </w:rPr>
        <w:t>e</w:t>
      </w:r>
      <w:r>
        <w:rPr>
          <w:rFonts w:ascii="Calibri" w:hAnsi="Calibri"/>
          <w:color w:val="000000"/>
          <w:sz w:val="22"/>
          <w:szCs w:val="22"/>
          <w:lang w:val="en-US"/>
        </w:rPr>
        <w:t>r con</w:t>
      </w:r>
      <w:r w:rsidR="00A1715E">
        <w:rPr>
          <w:rFonts w:ascii="Calibri" w:hAnsi="Calibri"/>
          <w:color w:val="000000"/>
          <w:sz w:val="22"/>
          <w:szCs w:val="22"/>
          <w:lang w:val="en-US"/>
        </w:rPr>
        <w:t>s</w:t>
      </w:r>
      <w:r>
        <w:rPr>
          <w:rFonts w:ascii="Calibri" w:hAnsi="Calibri"/>
          <w:color w:val="000000"/>
          <w:sz w:val="22"/>
          <w:szCs w:val="22"/>
          <w:lang w:val="en-US"/>
        </w:rPr>
        <w:t>tant decline since reas</w:t>
      </w:r>
      <w:r w:rsidR="00D50563">
        <w:rPr>
          <w:rFonts w:ascii="Calibri" w:hAnsi="Calibri"/>
          <w:color w:val="000000"/>
          <w:sz w:val="22"/>
          <w:szCs w:val="22"/>
          <w:lang w:val="en-US"/>
        </w:rPr>
        <w:t>o</w:t>
      </w:r>
      <w:r>
        <w:rPr>
          <w:rFonts w:ascii="Calibri" w:hAnsi="Calibri"/>
          <w:color w:val="000000"/>
          <w:sz w:val="22"/>
          <w:szCs w:val="22"/>
          <w:lang w:val="en-US"/>
        </w:rPr>
        <w:t>n</w:t>
      </w:r>
      <w:r w:rsidR="00D50563">
        <w:rPr>
          <w:rFonts w:ascii="Calibri" w:hAnsi="Calibri"/>
          <w:color w:val="000000"/>
          <w:sz w:val="22"/>
          <w:szCs w:val="22"/>
          <w:lang w:val="en-US"/>
        </w:rPr>
        <w:t>a</w:t>
      </w:r>
      <w:r>
        <w:rPr>
          <w:rFonts w:ascii="Calibri" w:hAnsi="Calibri"/>
          <w:color w:val="000000"/>
          <w:sz w:val="22"/>
          <w:szCs w:val="22"/>
          <w:lang w:val="en-US"/>
        </w:rPr>
        <w:t xml:space="preserve">ble records began in 1918, </w:t>
      </w:r>
      <w:r w:rsidR="00A1715E">
        <w:rPr>
          <w:rFonts w:ascii="Calibri" w:hAnsi="Calibri"/>
          <w:color w:val="000000"/>
          <w:sz w:val="22"/>
          <w:szCs w:val="22"/>
          <w:lang w:val="en-US"/>
        </w:rPr>
        <w:t>the propo</w:t>
      </w:r>
      <w:r>
        <w:rPr>
          <w:rFonts w:ascii="Calibri" w:hAnsi="Calibri"/>
          <w:color w:val="000000"/>
          <w:sz w:val="22"/>
          <w:szCs w:val="22"/>
          <w:lang w:val="en-US"/>
        </w:rPr>
        <w:t>rt</w:t>
      </w:r>
      <w:r w:rsidR="00A1715E">
        <w:rPr>
          <w:rFonts w:ascii="Calibri" w:hAnsi="Calibri"/>
          <w:color w:val="000000"/>
          <w:sz w:val="22"/>
          <w:szCs w:val="22"/>
          <w:lang w:val="en-US"/>
        </w:rPr>
        <w:t>i</w:t>
      </w:r>
      <w:r>
        <w:rPr>
          <w:rFonts w:ascii="Calibri" w:hAnsi="Calibri"/>
          <w:color w:val="000000"/>
          <w:sz w:val="22"/>
          <w:szCs w:val="22"/>
          <w:lang w:val="en-US"/>
        </w:rPr>
        <w:t>on of h</w:t>
      </w:r>
      <w:r w:rsidR="00041ED3">
        <w:rPr>
          <w:rFonts w:ascii="Calibri" w:hAnsi="Calibri"/>
          <w:color w:val="000000"/>
          <w:sz w:val="22"/>
          <w:szCs w:val="22"/>
          <w:lang w:val="en-US"/>
        </w:rPr>
        <w:t>ousehold</w:t>
      </w:r>
      <w:r>
        <w:rPr>
          <w:rFonts w:ascii="Calibri" w:hAnsi="Calibri"/>
          <w:color w:val="000000"/>
          <w:sz w:val="22"/>
          <w:szCs w:val="22"/>
          <w:lang w:val="en-US"/>
        </w:rPr>
        <w:t>s in p</w:t>
      </w:r>
      <w:r w:rsidR="00A1715E">
        <w:rPr>
          <w:rFonts w:ascii="Calibri" w:hAnsi="Calibri"/>
          <w:color w:val="000000"/>
          <w:sz w:val="22"/>
          <w:szCs w:val="22"/>
          <w:lang w:val="en-US"/>
        </w:rPr>
        <w:t>ri</w:t>
      </w:r>
      <w:r w:rsidR="00ED3299">
        <w:rPr>
          <w:rFonts w:ascii="Calibri" w:hAnsi="Calibri"/>
          <w:color w:val="000000"/>
          <w:sz w:val="22"/>
          <w:szCs w:val="22"/>
          <w:lang w:val="en-US"/>
        </w:rPr>
        <w:t>vate renting in England</w:t>
      </w:r>
      <w:r>
        <w:rPr>
          <w:rFonts w:ascii="Calibri" w:hAnsi="Calibri"/>
          <w:color w:val="000000"/>
          <w:sz w:val="22"/>
          <w:szCs w:val="22"/>
          <w:lang w:val="en-US"/>
        </w:rPr>
        <w:t xml:space="preserve"> started to grow in </w:t>
      </w:r>
      <w:r w:rsidR="00ED3299">
        <w:rPr>
          <w:rFonts w:ascii="Calibri" w:hAnsi="Calibri"/>
          <w:color w:val="000000"/>
          <w:sz w:val="22"/>
          <w:szCs w:val="22"/>
          <w:lang w:val="en-US"/>
        </w:rPr>
        <w:t>2001,</w:t>
      </w:r>
      <w:r>
        <w:rPr>
          <w:rFonts w:ascii="Calibri" w:hAnsi="Calibri"/>
          <w:color w:val="000000"/>
          <w:sz w:val="22"/>
          <w:szCs w:val="22"/>
          <w:lang w:val="en-US"/>
        </w:rPr>
        <w:t xml:space="preserve"> and overtook social renting in </w:t>
      </w:r>
      <w:r w:rsidR="00ED3299">
        <w:rPr>
          <w:rFonts w:ascii="Calibri" w:hAnsi="Calibri"/>
          <w:color w:val="000000"/>
          <w:sz w:val="22"/>
          <w:szCs w:val="22"/>
          <w:lang w:val="en-US"/>
        </w:rPr>
        <w:t>2011</w:t>
      </w:r>
      <w:r>
        <w:rPr>
          <w:rFonts w:ascii="Calibri" w:hAnsi="Calibri"/>
          <w:color w:val="000000"/>
          <w:sz w:val="22"/>
          <w:szCs w:val="22"/>
          <w:lang w:val="en-US"/>
        </w:rPr>
        <w:t xml:space="preserve">. </w:t>
      </w:r>
      <w:r w:rsidR="00A1715E">
        <w:rPr>
          <w:rFonts w:ascii="Calibri" w:hAnsi="Calibri"/>
          <w:color w:val="000000"/>
          <w:sz w:val="22"/>
          <w:szCs w:val="22"/>
          <w:lang w:val="en-US"/>
        </w:rPr>
        <w:t>In contrast, a</w:t>
      </w:r>
      <w:r>
        <w:rPr>
          <w:rFonts w:ascii="Calibri" w:hAnsi="Calibri"/>
          <w:color w:val="000000"/>
          <w:sz w:val="22"/>
          <w:szCs w:val="22"/>
          <w:lang w:val="en-US"/>
        </w:rPr>
        <w:t xml:space="preserve">fter </w:t>
      </w:r>
      <w:r w:rsidR="00A1715E">
        <w:rPr>
          <w:rFonts w:ascii="Calibri" w:hAnsi="Calibri"/>
          <w:color w:val="000000"/>
          <w:sz w:val="22"/>
          <w:szCs w:val="22"/>
          <w:lang w:val="en-US"/>
        </w:rPr>
        <w:t>constant increase, the propo</w:t>
      </w:r>
      <w:r>
        <w:rPr>
          <w:rFonts w:ascii="Calibri" w:hAnsi="Calibri"/>
          <w:color w:val="000000"/>
          <w:sz w:val="22"/>
          <w:szCs w:val="22"/>
          <w:lang w:val="en-US"/>
        </w:rPr>
        <w:t>rt</w:t>
      </w:r>
      <w:r w:rsidR="00A1715E">
        <w:rPr>
          <w:rFonts w:ascii="Calibri" w:hAnsi="Calibri"/>
          <w:color w:val="000000"/>
          <w:sz w:val="22"/>
          <w:szCs w:val="22"/>
          <w:lang w:val="en-US"/>
        </w:rPr>
        <w:t>i</w:t>
      </w:r>
      <w:r>
        <w:rPr>
          <w:rFonts w:ascii="Calibri" w:hAnsi="Calibri"/>
          <w:color w:val="000000"/>
          <w:sz w:val="22"/>
          <w:szCs w:val="22"/>
          <w:lang w:val="en-US"/>
        </w:rPr>
        <w:t>on o</w:t>
      </w:r>
      <w:r w:rsidR="004217DE">
        <w:rPr>
          <w:rFonts w:ascii="Calibri" w:hAnsi="Calibri"/>
          <w:color w:val="000000"/>
          <w:sz w:val="22"/>
          <w:szCs w:val="22"/>
          <w:lang w:val="en-US"/>
        </w:rPr>
        <w:t>f h</w:t>
      </w:r>
      <w:r w:rsidR="00041ED3">
        <w:rPr>
          <w:rFonts w:ascii="Calibri" w:hAnsi="Calibri"/>
          <w:color w:val="000000"/>
          <w:sz w:val="22"/>
          <w:szCs w:val="22"/>
          <w:lang w:val="en-US"/>
        </w:rPr>
        <w:t>ousehold</w:t>
      </w:r>
      <w:r w:rsidR="004217DE">
        <w:rPr>
          <w:rFonts w:ascii="Calibri" w:hAnsi="Calibri"/>
          <w:color w:val="000000"/>
          <w:sz w:val="22"/>
          <w:szCs w:val="22"/>
          <w:lang w:val="en-US"/>
        </w:rPr>
        <w:t xml:space="preserve">s in </w:t>
      </w:r>
      <w:r w:rsidR="00ED3299">
        <w:rPr>
          <w:rFonts w:ascii="Calibri" w:hAnsi="Calibri"/>
          <w:color w:val="000000"/>
          <w:sz w:val="22"/>
          <w:szCs w:val="22"/>
          <w:lang w:val="en-US"/>
        </w:rPr>
        <w:t>England</w:t>
      </w:r>
      <w:r w:rsidR="004217DE">
        <w:rPr>
          <w:rFonts w:ascii="Calibri" w:hAnsi="Calibri"/>
          <w:color w:val="000000"/>
          <w:sz w:val="22"/>
          <w:szCs w:val="22"/>
          <w:lang w:val="en-US"/>
        </w:rPr>
        <w:t xml:space="preserve"> in home ownershi</w:t>
      </w:r>
      <w:r>
        <w:rPr>
          <w:rFonts w:ascii="Calibri" w:hAnsi="Calibri"/>
          <w:color w:val="000000"/>
          <w:sz w:val="22"/>
          <w:szCs w:val="22"/>
          <w:lang w:val="en-US"/>
        </w:rPr>
        <w:t xml:space="preserve">p started to decline </w:t>
      </w:r>
      <w:r w:rsidR="007D6A35">
        <w:rPr>
          <w:rFonts w:ascii="Calibri" w:hAnsi="Calibri"/>
          <w:color w:val="000000"/>
          <w:sz w:val="22"/>
          <w:szCs w:val="22"/>
          <w:lang w:val="en-US"/>
        </w:rPr>
        <w:t xml:space="preserve">from its peak at 69% of all </w:t>
      </w:r>
      <w:bookmarkStart w:id="0" w:name="_GoBack"/>
      <w:bookmarkEnd w:id="0"/>
      <w:r w:rsidR="007D6A35">
        <w:rPr>
          <w:rFonts w:ascii="Calibri" w:hAnsi="Calibri"/>
          <w:color w:val="000000"/>
          <w:sz w:val="22"/>
          <w:szCs w:val="22"/>
          <w:lang w:val="en-US"/>
        </w:rPr>
        <w:t>households fully fourteen years ago in</w:t>
      </w:r>
      <w:r>
        <w:rPr>
          <w:rFonts w:ascii="Calibri" w:hAnsi="Calibri"/>
          <w:color w:val="000000"/>
          <w:sz w:val="22"/>
          <w:szCs w:val="22"/>
          <w:lang w:val="en-US"/>
        </w:rPr>
        <w:t xml:space="preserve"> </w:t>
      </w:r>
      <w:r w:rsidR="00ED3299">
        <w:rPr>
          <w:rFonts w:ascii="Calibri" w:hAnsi="Calibri"/>
          <w:color w:val="000000"/>
          <w:sz w:val="22"/>
          <w:szCs w:val="22"/>
          <w:lang w:val="en-US"/>
        </w:rPr>
        <w:t>2004</w:t>
      </w:r>
      <w:r w:rsidR="0012727E">
        <w:rPr>
          <w:rFonts w:ascii="Calibri" w:hAnsi="Calibri"/>
          <w:color w:val="000000"/>
          <w:sz w:val="22"/>
          <w:szCs w:val="22"/>
          <w:lang w:val="en-US"/>
        </w:rPr>
        <w:t xml:space="preserve"> (Figure 1)</w:t>
      </w:r>
      <w:r>
        <w:rPr>
          <w:rFonts w:ascii="Calibri" w:hAnsi="Calibri"/>
          <w:color w:val="000000"/>
          <w:sz w:val="22"/>
          <w:szCs w:val="22"/>
          <w:lang w:val="en-US"/>
        </w:rPr>
        <w:t>. If R</w:t>
      </w:r>
      <w:r w:rsidR="00041ED3">
        <w:rPr>
          <w:rFonts w:ascii="Calibri" w:hAnsi="Calibri"/>
          <w:color w:val="000000"/>
          <w:sz w:val="22"/>
          <w:szCs w:val="22"/>
          <w:lang w:val="en-US"/>
        </w:rPr>
        <w:t>ight to Buy</w:t>
      </w:r>
      <w:r>
        <w:rPr>
          <w:rFonts w:ascii="Calibri" w:hAnsi="Calibri"/>
          <w:color w:val="000000"/>
          <w:sz w:val="22"/>
          <w:szCs w:val="22"/>
          <w:lang w:val="en-US"/>
        </w:rPr>
        <w:t xml:space="preserve"> sales are stripped</w:t>
      </w:r>
      <w:r w:rsidR="00ED3299">
        <w:rPr>
          <w:rFonts w:ascii="Calibri" w:hAnsi="Calibri"/>
          <w:color w:val="000000"/>
          <w:sz w:val="22"/>
          <w:szCs w:val="22"/>
          <w:lang w:val="en-US"/>
        </w:rPr>
        <w:t xml:space="preserve"> out, </w:t>
      </w:r>
      <w:r w:rsidR="007D6A35">
        <w:rPr>
          <w:rFonts w:ascii="Calibri" w:hAnsi="Calibri"/>
          <w:color w:val="000000"/>
          <w:sz w:val="22"/>
          <w:szCs w:val="22"/>
          <w:lang w:val="en-US"/>
        </w:rPr>
        <w:t>ownership peaked lower and earlier (in 2001 at 63%)</w:t>
      </w:r>
      <w:r>
        <w:rPr>
          <w:rFonts w:ascii="Calibri" w:hAnsi="Calibri"/>
          <w:color w:val="000000"/>
          <w:sz w:val="22"/>
          <w:szCs w:val="22"/>
          <w:lang w:val="en-US"/>
        </w:rPr>
        <w:t xml:space="preserve">. If only homes being bought with a mortgage are considered, </w:t>
      </w:r>
      <w:r w:rsidR="007D6A35">
        <w:rPr>
          <w:rFonts w:ascii="Calibri" w:hAnsi="Calibri"/>
          <w:color w:val="000000"/>
          <w:sz w:val="22"/>
          <w:szCs w:val="22"/>
          <w:lang w:val="en-US"/>
        </w:rPr>
        <w:t>ownership peaked much earlier and much lower (in 1995 and 43%)</w:t>
      </w:r>
      <w:r>
        <w:rPr>
          <w:rFonts w:ascii="Calibri" w:hAnsi="Calibri"/>
          <w:color w:val="000000"/>
          <w:sz w:val="22"/>
          <w:szCs w:val="22"/>
          <w:lang w:val="en-US"/>
        </w:rPr>
        <w:t xml:space="preserve">. </w:t>
      </w:r>
      <w:r w:rsidR="00ED3299">
        <w:rPr>
          <w:rFonts w:ascii="Calibri" w:hAnsi="Calibri"/>
          <w:color w:val="000000"/>
          <w:sz w:val="22"/>
          <w:szCs w:val="22"/>
          <w:lang w:val="en-US"/>
        </w:rPr>
        <w:t xml:space="preserve">These </w:t>
      </w:r>
      <w:r w:rsidR="00ED3299">
        <w:rPr>
          <w:rFonts w:ascii="Calibri" w:hAnsi="Calibri"/>
          <w:color w:val="000000"/>
          <w:sz w:val="22"/>
          <w:szCs w:val="22"/>
          <w:lang w:val="en-US"/>
        </w:rPr>
        <w:t xml:space="preserve">U-turns </w:t>
      </w:r>
      <w:r w:rsidR="00ED3299">
        <w:rPr>
          <w:rFonts w:ascii="Calibri" w:hAnsi="Calibri"/>
          <w:color w:val="000000"/>
          <w:sz w:val="22"/>
          <w:szCs w:val="22"/>
          <w:lang w:val="en-US"/>
        </w:rPr>
        <w:t xml:space="preserve">usually take a while to be </w:t>
      </w:r>
      <w:r w:rsidR="007D6A35">
        <w:rPr>
          <w:rFonts w:ascii="Calibri" w:hAnsi="Calibri"/>
          <w:color w:val="000000"/>
          <w:sz w:val="22"/>
          <w:szCs w:val="22"/>
          <w:lang w:val="en-US"/>
        </w:rPr>
        <w:t xml:space="preserve">fully </w:t>
      </w:r>
      <w:r w:rsidR="00ED3299">
        <w:rPr>
          <w:rFonts w:ascii="Calibri" w:hAnsi="Calibri"/>
          <w:color w:val="000000"/>
          <w:sz w:val="22"/>
          <w:szCs w:val="22"/>
          <w:lang w:val="en-US"/>
        </w:rPr>
        <w:t>recognized, and can create consternation when they are.</w:t>
      </w:r>
    </w:p>
    <w:p w:rsidR="00A1715E" w:rsidRDefault="00A1715E" w:rsidP="00193BA6">
      <w:pPr>
        <w:spacing w:before="0" w:after="0"/>
        <w:rPr>
          <w:rFonts w:ascii="Calibri" w:hAnsi="Calibri"/>
          <w:color w:val="000000"/>
          <w:sz w:val="22"/>
          <w:szCs w:val="22"/>
          <w:lang w:val="en-US"/>
        </w:rPr>
      </w:pPr>
    </w:p>
    <w:p w:rsidR="0012727E" w:rsidRPr="0012727E" w:rsidRDefault="0012727E" w:rsidP="0012727E">
      <w:pPr>
        <w:spacing w:before="0" w:after="200" w:line="276" w:lineRule="auto"/>
        <w:rPr>
          <w:rFonts w:asciiTheme="minorHAnsi" w:eastAsiaTheme="minorHAnsi" w:hAnsiTheme="minorHAnsi" w:cstheme="minorBidi"/>
          <w:sz w:val="22"/>
          <w:szCs w:val="22"/>
          <w:lang w:val="en-US"/>
        </w:rPr>
      </w:pPr>
      <w:r w:rsidRPr="0012727E">
        <w:rPr>
          <w:rFonts w:asciiTheme="minorHAnsi" w:eastAsiaTheme="minorHAnsi" w:hAnsiTheme="minorHAnsi" w:cstheme="minorBidi"/>
          <w:sz w:val="22"/>
          <w:szCs w:val="22"/>
          <w:lang w:val="en-US"/>
        </w:rPr>
        <w:t>Figure</w:t>
      </w:r>
      <w:r>
        <w:rPr>
          <w:rFonts w:asciiTheme="minorHAnsi" w:eastAsiaTheme="minorHAnsi" w:hAnsiTheme="minorHAnsi" w:cstheme="minorBidi"/>
          <w:sz w:val="22"/>
          <w:szCs w:val="22"/>
          <w:lang w:val="en-US"/>
        </w:rPr>
        <w:t xml:space="preserve"> 1</w:t>
      </w:r>
      <w:r w:rsidRPr="0012727E">
        <w:rPr>
          <w:rFonts w:asciiTheme="minorHAnsi" w:eastAsiaTheme="minorHAnsi" w:hAnsiTheme="minorHAnsi" w:cstheme="minorBidi"/>
          <w:sz w:val="22"/>
          <w:szCs w:val="22"/>
          <w:lang w:val="en-US"/>
        </w:rPr>
        <w:t>: The proportion of h</w:t>
      </w:r>
      <w:r>
        <w:rPr>
          <w:rFonts w:asciiTheme="minorHAnsi" w:eastAsiaTheme="minorHAnsi" w:hAnsiTheme="minorHAnsi" w:cstheme="minorBidi"/>
          <w:sz w:val="22"/>
          <w:szCs w:val="22"/>
          <w:lang w:val="en-US"/>
        </w:rPr>
        <w:t>ouseholds</w:t>
      </w:r>
      <w:r w:rsidRPr="0012727E">
        <w:rPr>
          <w:rFonts w:asciiTheme="minorHAnsi" w:eastAsiaTheme="minorHAnsi" w:hAnsiTheme="minorHAnsi" w:cstheme="minorBidi"/>
          <w:sz w:val="22"/>
          <w:szCs w:val="22"/>
          <w:lang w:val="en-US"/>
        </w:rPr>
        <w:t xml:space="preserve"> in Eng</w:t>
      </w:r>
      <w:r>
        <w:rPr>
          <w:rFonts w:asciiTheme="minorHAnsi" w:eastAsiaTheme="minorHAnsi" w:hAnsiTheme="minorHAnsi" w:cstheme="minorBidi"/>
          <w:sz w:val="22"/>
          <w:szCs w:val="22"/>
          <w:lang w:val="en-US"/>
        </w:rPr>
        <w:t xml:space="preserve">land in different tenures, 1918 to </w:t>
      </w:r>
      <w:r w:rsidRPr="0012727E">
        <w:rPr>
          <w:rFonts w:asciiTheme="minorHAnsi" w:eastAsiaTheme="minorHAnsi" w:hAnsiTheme="minorHAnsi" w:cstheme="minorBidi"/>
          <w:sz w:val="22"/>
          <w:szCs w:val="22"/>
          <w:lang w:val="en-US"/>
        </w:rPr>
        <w:t>2015</w:t>
      </w:r>
      <w:r>
        <w:rPr>
          <w:rFonts w:asciiTheme="minorHAnsi" w:eastAsiaTheme="minorHAnsi" w:hAnsiTheme="minorHAnsi" w:cstheme="minorBidi"/>
          <w:sz w:val="22"/>
          <w:szCs w:val="22"/>
          <w:lang w:val="en-US"/>
        </w:rPr>
        <w:t>-1</w:t>
      </w:r>
      <w:r w:rsidRPr="0012727E">
        <w:rPr>
          <w:rFonts w:asciiTheme="minorHAnsi" w:eastAsiaTheme="minorHAnsi" w:hAnsiTheme="minorHAnsi" w:cstheme="minorBidi"/>
          <w:sz w:val="22"/>
          <w:szCs w:val="22"/>
          <w:lang w:val="en-US"/>
        </w:rPr>
        <w:t>6</w:t>
      </w:r>
    </w:p>
    <w:p w:rsidR="0012727E" w:rsidRPr="0012727E" w:rsidRDefault="0012727E" w:rsidP="0012727E">
      <w:pPr>
        <w:spacing w:before="0" w:after="200" w:line="276" w:lineRule="auto"/>
        <w:rPr>
          <w:rFonts w:asciiTheme="minorHAnsi" w:eastAsiaTheme="minorHAnsi" w:hAnsiTheme="minorHAnsi" w:cstheme="minorBidi"/>
          <w:sz w:val="22"/>
          <w:szCs w:val="22"/>
          <w:lang w:val="en-US"/>
        </w:rPr>
      </w:pPr>
      <w:r w:rsidRPr="0012727E">
        <w:rPr>
          <w:rFonts w:asciiTheme="minorHAnsi" w:eastAsiaTheme="minorHAnsi" w:hAnsiTheme="minorHAnsi" w:cstheme="minorBidi"/>
          <w:noProof/>
          <w:sz w:val="22"/>
          <w:szCs w:val="22"/>
          <w:lang w:val="en-US"/>
        </w:rPr>
        <w:drawing>
          <wp:inline distT="0" distB="0" distL="0" distR="0" wp14:anchorId="5506AB9C" wp14:editId="7BF2506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727E" w:rsidRPr="0012727E" w:rsidRDefault="0012727E" w:rsidP="0012727E">
      <w:pPr>
        <w:spacing w:before="0" w:after="200" w:line="276" w:lineRule="auto"/>
        <w:rPr>
          <w:rFonts w:asciiTheme="minorHAnsi" w:hAnsiTheme="minorHAnsi" w:cs="Arial"/>
          <w:bCs/>
          <w:sz w:val="22"/>
          <w:szCs w:val="22"/>
          <w:lang w:val="en-US"/>
        </w:rPr>
      </w:pPr>
      <w:r w:rsidRPr="0012727E">
        <w:rPr>
          <w:rFonts w:asciiTheme="minorHAnsi" w:eastAsiaTheme="minorHAnsi" w:hAnsiTheme="minorHAnsi" w:cstheme="minorBidi"/>
          <w:sz w:val="22"/>
          <w:szCs w:val="22"/>
          <w:lang w:val="en-US"/>
        </w:rPr>
        <w:t xml:space="preserve">Source: </w:t>
      </w:r>
      <w:r w:rsidR="007C1066">
        <w:rPr>
          <w:rFonts w:asciiTheme="minorHAnsi" w:eastAsiaTheme="minorHAnsi" w:hAnsiTheme="minorHAnsi" w:cstheme="minorBidi"/>
          <w:sz w:val="22"/>
          <w:szCs w:val="22"/>
          <w:lang w:val="en-US"/>
        </w:rPr>
        <w:t xml:space="preserve">MHCLG </w:t>
      </w:r>
      <w:proofErr w:type="spellStart"/>
      <w:r w:rsidR="007C1066">
        <w:rPr>
          <w:rFonts w:asciiTheme="minorHAnsi" w:eastAsiaTheme="minorHAnsi" w:hAnsiTheme="minorHAnsi" w:cstheme="minorBidi"/>
          <w:sz w:val="22"/>
          <w:szCs w:val="22"/>
          <w:lang w:val="en-US"/>
        </w:rPr>
        <w:t>livetables</w:t>
      </w:r>
      <w:proofErr w:type="spellEnd"/>
      <w:r w:rsidR="007C1066">
        <w:rPr>
          <w:rFonts w:asciiTheme="minorHAnsi" w:eastAsiaTheme="minorHAnsi" w:hAnsiTheme="minorHAnsi" w:cstheme="minorBidi"/>
          <w:sz w:val="22"/>
          <w:szCs w:val="22"/>
          <w:lang w:val="en-US"/>
        </w:rPr>
        <w:t xml:space="preserve"> </w:t>
      </w:r>
      <w:r w:rsidR="007C1066">
        <w:rPr>
          <w:rFonts w:asciiTheme="minorHAnsi" w:hAnsiTheme="minorHAnsi" w:cs="Arial"/>
          <w:bCs/>
          <w:sz w:val="22"/>
          <w:szCs w:val="22"/>
          <w:lang w:val="en-US"/>
        </w:rPr>
        <w:t>Table FT1101 (S101)</w:t>
      </w:r>
    </w:p>
    <w:p w:rsidR="009A19DE" w:rsidRDefault="009A19DE" w:rsidP="00193BA6">
      <w:pPr>
        <w:spacing w:before="0" w:after="0"/>
        <w:rPr>
          <w:rFonts w:ascii="Calibri" w:hAnsi="Calibri"/>
          <w:color w:val="000000"/>
          <w:sz w:val="22"/>
          <w:szCs w:val="22"/>
          <w:lang w:val="en-US"/>
        </w:rPr>
      </w:pPr>
      <w:r>
        <w:rPr>
          <w:rFonts w:ascii="Calibri" w:hAnsi="Calibri"/>
          <w:color w:val="000000"/>
          <w:sz w:val="22"/>
          <w:szCs w:val="22"/>
          <w:lang w:val="en-US"/>
        </w:rPr>
        <w:t>T</w:t>
      </w:r>
      <w:r w:rsidR="007A4CE8">
        <w:rPr>
          <w:rFonts w:ascii="Calibri" w:hAnsi="Calibri"/>
          <w:color w:val="000000"/>
          <w:sz w:val="22"/>
          <w:szCs w:val="22"/>
          <w:lang w:val="en-US"/>
        </w:rPr>
        <w:t>hree</w:t>
      </w:r>
      <w:r w:rsidR="00D6281B">
        <w:rPr>
          <w:rFonts w:ascii="Calibri" w:hAnsi="Calibri"/>
          <w:color w:val="000000"/>
          <w:sz w:val="22"/>
          <w:szCs w:val="22"/>
          <w:lang w:val="en-US"/>
        </w:rPr>
        <w:t xml:space="preserve"> of</w:t>
      </w:r>
      <w:r>
        <w:rPr>
          <w:rFonts w:ascii="Calibri" w:hAnsi="Calibri"/>
          <w:color w:val="000000"/>
          <w:sz w:val="22"/>
          <w:szCs w:val="22"/>
          <w:lang w:val="en-US"/>
        </w:rPr>
        <w:t xml:space="preserve"> the best kno</w:t>
      </w:r>
      <w:r w:rsidR="00A1715E">
        <w:rPr>
          <w:rFonts w:ascii="Calibri" w:hAnsi="Calibri"/>
          <w:color w:val="000000"/>
          <w:sz w:val="22"/>
          <w:szCs w:val="22"/>
          <w:lang w:val="en-US"/>
        </w:rPr>
        <w:t xml:space="preserve">wn facts about social renting are </w:t>
      </w:r>
      <w:r w:rsidR="007C1066">
        <w:rPr>
          <w:rFonts w:ascii="Calibri" w:hAnsi="Calibri"/>
          <w:color w:val="000000"/>
          <w:sz w:val="22"/>
          <w:szCs w:val="22"/>
          <w:lang w:val="en-US"/>
        </w:rPr>
        <w:t xml:space="preserve">that </w:t>
      </w:r>
      <w:r w:rsidR="00A1715E">
        <w:rPr>
          <w:rFonts w:ascii="Calibri" w:hAnsi="Calibri"/>
          <w:color w:val="000000"/>
          <w:sz w:val="22"/>
          <w:szCs w:val="22"/>
          <w:lang w:val="en-US"/>
        </w:rPr>
        <w:t>1)</w:t>
      </w:r>
      <w:r>
        <w:rPr>
          <w:rFonts w:ascii="Calibri" w:hAnsi="Calibri"/>
          <w:color w:val="000000"/>
          <w:sz w:val="22"/>
          <w:szCs w:val="22"/>
          <w:lang w:val="en-US"/>
        </w:rPr>
        <w:t xml:space="preserve"> </w:t>
      </w:r>
      <w:r w:rsidR="007D6A35">
        <w:rPr>
          <w:rFonts w:ascii="Calibri" w:hAnsi="Calibri"/>
          <w:color w:val="000000"/>
          <w:sz w:val="22"/>
          <w:szCs w:val="22"/>
          <w:lang w:val="en-US"/>
        </w:rPr>
        <w:t>it is shrinking away</w:t>
      </w:r>
      <w:r w:rsidR="006A771E">
        <w:rPr>
          <w:rFonts w:ascii="Calibri" w:hAnsi="Calibri"/>
          <w:color w:val="000000"/>
          <w:sz w:val="22"/>
          <w:szCs w:val="22"/>
          <w:lang w:val="en-US"/>
        </w:rPr>
        <w:t>;</w:t>
      </w:r>
      <w:r w:rsidR="007D6A35">
        <w:rPr>
          <w:rFonts w:ascii="Calibri" w:hAnsi="Calibri"/>
          <w:color w:val="000000"/>
          <w:sz w:val="22"/>
          <w:szCs w:val="22"/>
          <w:lang w:val="en-US"/>
        </w:rPr>
        <w:t xml:space="preserve"> 2) </w:t>
      </w:r>
      <w:r>
        <w:rPr>
          <w:rFonts w:ascii="Calibri" w:hAnsi="Calibri"/>
          <w:color w:val="000000"/>
          <w:sz w:val="22"/>
          <w:szCs w:val="22"/>
          <w:lang w:val="en-US"/>
        </w:rPr>
        <w:t>it houses people on low incomes</w:t>
      </w:r>
      <w:r w:rsidR="006A771E">
        <w:rPr>
          <w:rFonts w:ascii="Calibri" w:hAnsi="Calibri"/>
          <w:color w:val="000000"/>
          <w:sz w:val="22"/>
          <w:szCs w:val="22"/>
          <w:lang w:val="en-US"/>
        </w:rPr>
        <w:t>;</w:t>
      </w:r>
      <w:r w:rsidR="007C1066">
        <w:rPr>
          <w:rFonts w:ascii="Calibri" w:hAnsi="Calibri"/>
          <w:color w:val="000000"/>
          <w:sz w:val="22"/>
          <w:szCs w:val="22"/>
          <w:lang w:val="en-US"/>
        </w:rPr>
        <w:t xml:space="preserve"> and </w:t>
      </w:r>
      <w:r w:rsidR="007D6A35">
        <w:rPr>
          <w:rFonts w:ascii="Calibri" w:hAnsi="Calibri"/>
          <w:color w:val="000000"/>
          <w:sz w:val="22"/>
          <w:szCs w:val="22"/>
          <w:lang w:val="en-US"/>
        </w:rPr>
        <w:t>3</w:t>
      </w:r>
      <w:r w:rsidR="00A1715E">
        <w:rPr>
          <w:rFonts w:ascii="Calibri" w:hAnsi="Calibri"/>
          <w:color w:val="000000"/>
          <w:sz w:val="22"/>
          <w:szCs w:val="22"/>
          <w:lang w:val="en-US"/>
        </w:rPr>
        <w:t xml:space="preserve">) </w:t>
      </w:r>
      <w:r>
        <w:rPr>
          <w:rFonts w:ascii="Calibri" w:hAnsi="Calibri"/>
          <w:color w:val="000000"/>
          <w:sz w:val="22"/>
          <w:szCs w:val="22"/>
          <w:lang w:val="en-US"/>
        </w:rPr>
        <w:t xml:space="preserve">this </w:t>
      </w:r>
      <w:r w:rsidR="007C1066">
        <w:rPr>
          <w:rFonts w:ascii="Calibri" w:hAnsi="Calibri"/>
          <w:color w:val="000000"/>
          <w:sz w:val="22"/>
          <w:szCs w:val="22"/>
          <w:lang w:val="en-US"/>
        </w:rPr>
        <w:t>is</w:t>
      </w:r>
      <w:r>
        <w:rPr>
          <w:rFonts w:ascii="Calibri" w:hAnsi="Calibri"/>
          <w:color w:val="000000"/>
          <w:sz w:val="22"/>
          <w:szCs w:val="22"/>
          <w:lang w:val="en-US"/>
        </w:rPr>
        <w:t xml:space="preserve"> more and </w:t>
      </w:r>
      <w:proofErr w:type="gramStart"/>
      <w:r>
        <w:rPr>
          <w:rFonts w:ascii="Calibri" w:hAnsi="Calibri"/>
          <w:color w:val="000000"/>
          <w:sz w:val="22"/>
          <w:szCs w:val="22"/>
          <w:lang w:val="en-US"/>
        </w:rPr>
        <w:t>more true</w:t>
      </w:r>
      <w:proofErr w:type="gramEnd"/>
      <w:r w:rsidR="00A1715E">
        <w:rPr>
          <w:rFonts w:ascii="Calibri" w:hAnsi="Calibri"/>
          <w:color w:val="000000"/>
          <w:sz w:val="22"/>
          <w:szCs w:val="22"/>
          <w:lang w:val="en-US"/>
        </w:rPr>
        <w:t xml:space="preserve"> </w:t>
      </w:r>
      <w:r>
        <w:rPr>
          <w:rFonts w:ascii="Calibri" w:hAnsi="Calibri"/>
          <w:color w:val="000000"/>
          <w:sz w:val="22"/>
          <w:szCs w:val="22"/>
          <w:lang w:val="en-US"/>
        </w:rPr>
        <w:t>over time.</w:t>
      </w:r>
      <w:r w:rsidR="00A1715E">
        <w:rPr>
          <w:rFonts w:ascii="Calibri" w:hAnsi="Calibri"/>
          <w:color w:val="000000"/>
          <w:sz w:val="22"/>
          <w:szCs w:val="22"/>
          <w:lang w:val="en-US"/>
        </w:rPr>
        <w:t xml:space="preserve"> </w:t>
      </w:r>
      <w:r w:rsidR="007A4CE8">
        <w:rPr>
          <w:rFonts w:ascii="Calibri" w:hAnsi="Calibri"/>
          <w:color w:val="000000"/>
          <w:sz w:val="22"/>
          <w:szCs w:val="22"/>
          <w:lang w:val="en-US"/>
        </w:rPr>
        <w:t xml:space="preserve">There has </w:t>
      </w:r>
      <w:r w:rsidR="007D6A35">
        <w:rPr>
          <w:rFonts w:ascii="Calibri" w:hAnsi="Calibri"/>
          <w:color w:val="000000"/>
          <w:sz w:val="22"/>
          <w:szCs w:val="22"/>
          <w:lang w:val="en-US"/>
        </w:rPr>
        <w:t>not been a full</w:t>
      </w:r>
      <w:r w:rsidR="007A4CE8">
        <w:rPr>
          <w:rFonts w:ascii="Calibri" w:hAnsi="Calibri"/>
          <w:color w:val="000000"/>
          <w:sz w:val="22"/>
          <w:szCs w:val="22"/>
          <w:lang w:val="en-US"/>
        </w:rPr>
        <w:t xml:space="preserve"> U-</w:t>
      </w:r>
      <w:r w:rsidR="00A1715E">
        <w:rPr>
          <w:rFonts w:ascii="Calibri" w:hAnsi="Calibri"/>
          <w:color w:val="000000"/>
          <w:sz w:val="22"/>
          <w:szCs w:val="22"/>
          <w:lang w:val="en-US"/>
        </w:rPr>
        <w:t>turn in</w:t>
      </w:r>
      <w:r w:rsidR="006A771E">
        <w:rPr>
          <w:rFonts w:ascii="Calibri" w:hAnsi="Calibri"/>
          <w:color w:val="000000"/>
          <w:sz w:val="22"/>
          <w:szCs w:val="22"/>
          <w:lang w:val="en-US"/>
        </w:rPr>
        <w:t xml:space="preserve"> t</w:t>
      </w:r>
      <w:r w:rsidR="00A1715E">
        <w:rPr>
          <w:rFonts w:ascii="Calibri" w:hAnsi="Calibri"/>
          <w:color w:val="000000"/>
          <w:sz w:val="22"/>
          <w:szCs w:val="22"/>
          <w:lang w:val="en-US"/>
        </w:rPr>
        <w:t>he decline of</w:t>
      </w:r>
      <w:r w:rsidR="004217DE">
        <w:rPr>
          <w:rFonts w:ascii="Calibri" w:hAnsi="Calibri"/>
          <w:color w:val="000000"/>
          <w:sz w:val="22"/>
          <w:szCs w:val="22"/>
          <w:lang w:val="en-US"/>
        </w:rPr>
        <w:t xml:space="preserve"> </w:t>
      </w:r>
      <w:r w:rsidR="007D6A35">
        <w:rPr>
          <w:rFonts w:ascii="Calibri" w:hAnsi="Calibri"/>
          <w:color w:val="000000"/>
          <w:sz w:val="22"/>
          <w:szCs w:val="22"/>
          <w:lang w:val="en-US"/>
        </w:rPr>
        <w:t xml:space="preserve">social housing so far, </w:t>
      </w:r>
      <w:r w:rsidR="007C1066">
        <w:rPr>
          <w:rFonts w:ascii="Calibri" w:hAnsi="Calibri"/>
          <w:color w:val="000000"/>
          <w:sz w:val="22"/>
          <w:szCs w:val="22"/>
          <w:lang w:val="en-US"/>
        </w:rPr>
        <w:t>but</w:t>
      </w:r>
      <w:r w:rsidR="007D6A35">
        <w:rPr>
          <w:rFonts w:ascii="Calibri" w:hAnsi="Calibri"/>
          <w:color w:val="000000"/>
          <w:sz w:val="22"/>
          <w:szCs w:val="22"/>
          <w:lang w:val="en-US"/>
        </w:rPr>
        <w:t xml:space="preserve"> the </w:t>
      </w:r>
      <w:r w:rsidR="006A771E">
        <w:rPr>
          <w:rFonts w:ascii="Calibri" w:hAnsi="Calibri"/>
          <w:color w:val="000000"/>
          <w:sz w:val="22"/>
          <w:szCs w:val="22"/>
          <w:lang w:val="en-US"/>
        </w:rPr>
        <w:t xml:space="preserve">graph </w:t>
      </w:r>
      <w:r w:rsidR="007A4CE8">
        <w:rPr>
          <w:rFonts w:ascii="Calibri" w:hAnsi="Calibri"/>
          <w:color w:val="000000"/>
          <w:sz w:val="22"/>
          <w:szCs w:val="22"/>
          <w:lang w:val="en-US"/>
        </w:rPr>
        <w:t xml:space="preserve">has </w:t>
      </w:r>
      <w:r w:rsidR="00A1715E">
        <w:rPr>
          <w:rFonts w:ascii="Calibri" w:hAnsi="Calibri"/>
          <w:color w:val="000000"/>
          <w:sz w:val="22"/>
          <w:szCs w:val="22"/>
          <w:lang w:val="en-US"/>
        </w:rPr>
        <w:t>flat</w:t>
      </w:r>
      <w:r w:rsidR="004217DE">
        <w:rPr>
          <w:rFonts w:ascii="Calibri" w:hAnsi="Calibri"/>
          <w:color w:val="000000"/>
          <w:sz w:val="22"/>
          <w:szCs w:val="22"/>
          <w:lang w:val="en-US"/>
        </w:rPr>
        <w:t>ten</w:t>
      </w:r>
      <w:r w:rsidR="00D6281B">
        <w:rPr>
          <w:rFonts w:ascii="Calibri" w:hAnsi="Calibri"/>
          <w:color w:val="000000"/>
          <w:sz w:val="22"/>
          <w:szCs w:val="22"/>
          <w:lang w:val="en-US"/>
        </w:rPr>
        <w:t>ed</w:t>
      </w:r>
      <w:r w:rsidR="00A1715E">
        <w:rPr>
          <w:rFonts w:ascii="Calibri" w:hAnsi="Calibri"/>
          <w:color w:val="000000"/>
          <w:sz w:val="22"/>
          <w:szCs w:val="22"/>
          <w:lang w:val="en-US"/>
        </w:rPr>
        <w:t xml:space="preserve"> out</w:t>
      </w:r>
      <w:r w:rsidR="007D6A35">
        <w:rPr>
          <w:rFonts w:ascii="Calibri" w:hAnsi="Calibri"/>
          <w:color w:val="000000"/>
          <w:sz w:val="22"/>
          <w:szCs w:val="22"/>
          <w:lang w:val="en-US"/>
        </w:rPr>
        <w:t xml:space="preserve"> (Figure 1)</w:t>
      </w:r>
      <w:r w:rsidR="00A1715E">
        <w:rPr>
          <w:rFonts w:ascii="Calibri" w:hAnsi="Calibri"/>
          <w:color w:val="000000"/>
          <w:sz w:val="22"/>
          <w:szCs w:val="22"/>
          <w:lang w:val="en-US"/>
        </w:rPr>
        <w:t xml:space="preserve">. </w:t>
      </w:r>
      <w:r w:rsidR="006A771E">
        <w:rPr>
          <w:rFonts w:ascii="Calibri" w:hAnsi="Calibri"/>
          <w:color w:val="000000"/>
          <w:sz w:val="22"/>
          <w:szCs w:val="22"/>
          <w:lang w:val="en-US"/>
        </w:rPr>
        <w:t>T</w:t>
      </w:r>
      <w:r>
        <w:rPr>
          <w:rFonts w:ascii="Calibri" w:hAnsi="Calibri"/>
          <w:color w:val="000000"/>
          <w:sz w:val="22"/>
          <w:szCs w:val="22"/>
          <w:lang w:val="en-US"/>
        </w:rPr>
        <w:t>h</w:t>
      </w:r>
      <w:r w:rsidR="00A1715E">
        <w:rPr>
          <w:rFonts w:ascii="Calibri" w:hAnsi="Calibri"/>
          <w:color w:val="000000"/>
          <w:sz w:val="22"/>
          <w:szCs w:val="22"/>
          <w:lang w:val="en-US"/>
        </w:rPr>
        <w:t>e</w:t>
      </w:r>
      <w:r>
        <w:rPr>
          <w:rFonts w:ascii="Calibri" w:hAnsi="Calibri"/>
          <w:color w:val="000000"/>
          <w:sz w:val="22"/>
          <w:szCs w:val="22"/>
          <w:lang w:val="en-US"/>
        </w:rPr>
        <w:t xml:space="preserve"> </w:t>
      </w:r>
      <w:r w:rsidR="007D6A35">
        <w:rPr>
          <w:rFonts w:ascii="Calibri" w:hAnsi="Calibri"/>
          <w:color w:val="000000"/>
          <w:sz w:val="22"/>
          <w:szCs w:val="22"/>
          <w:lang w:val="en-US"/>
        </w:rPr>
        <w:t xml:space="preserve">second fact </w:t>
      </w:r>
      <w:r w:rsidR="006A771E">
        <w:rPr>
          <w:rFonts w:ascii="Calibri" w:hAnsi="Calibri"/>
          <w:color w:val="000000"/>
          <w:sz w:val="22"/>
          <w:szCs w:val="22"/>
          <w:lang w:val="en-US"/>
        </w:rPr>
        <w:t xml:space="preserve">only </w:t>
      </w:r>
      <w:r w:rsidR="0039026A">
        <w:rPr>
          <w:rFonts w:ascii="Calibri" w:hAnsi="Calibri"/>
          <w:color w:val="000000"/>
          <w:sz w:val="22"/>
          <w:szCs w:val="22"/>
          <w:lang w:val="en-US"/>
        </w:rPr>
        <w:t xml:space="preserve">really </w:t>
      </w:r>
      <w:r w:rsidR="00BD55F7">
        <w:rPr>
          <w:rFonts w:ascii="Calibri" w:hAnsi="Calibri"/>
          <w:color w:val="000000"/>
          <w:sz w:val="22"/>
          <w:szCs w:val="22"/>
          <w:lang w:val="en-US"/>
        </w:rPr>
        <w:t>started being</w:t>
      </w:r>
      <w:r w:rsidR="006A771E">
        <w:rPr>
          <w:rFonts w:ascii="Calibri" w:hAnsi="Calibri"/>
          <w:color w:val="000000"/>
          <w:sz w:val="22"/>
          <w:szCs w:val="22"/>
          <w:lang w:val="en-US"/>
        </w:rPr>
        <w:t xml:space="preserve"> true in </w:t>
      </w:r>
      <w:r w:rsidR="0039026A">
        <w:rPr>
          <w:rFonts w:ascii="Calibri" w:hAnsi="Calibri"/>
          <w:color w:val="000000"/>
          <w:sz w:val="22"/>
          <w:szCs w:val="22"/>
          <w:lang w:val="en-US"/>
        </w:rPr>
        <w:t>the 1970s</w:t>
      </w:r>
      <w:r w:rsidR="00D6281B">
        <w:rPr>
          <w:rFonts w:ascii="Calibri" w:hAnsi="Calibri"/>
          <w:color w:val="000000"/>
          <w:sz w:val="22"/>
          <w:szCs w:val="22"/>
          <w:lang w:val="en-US"/>
        </w:rPr>
        <w:t xml:space="preserve">. </w:t>
      </w:r>
      <w:r w:rsidR="006A771E">
        <w:rPr>
          <w:rFonts w:ascii="Calibri" w:hAnsi="Calibri"/>
          <w:color w:val="000000"/>
          <w:sz w:val="22"/>
          <w:szCs w:val="22"/>
          <w:lang w:val="en-US"/>
        </w:rPr>
        <w:t>After a</w:t>
      </w:r>
      <w:r w:rsidR="007D6A35">
        <w:rPr>
          <w:rFonts w:ascii="Calibri" w:hAnsi="Calibri"/>
          <w:color w:val="000000"/>
          <w:sz w:val="22"/>
          <w:szCs w:val="22"/>
          <w:lang w:val="en-US"/>
        </w:rPr>
        <w:t xml:space="preserve"> U-turn</w:t>
      </w:r>
      <w:r w:rsidR="00BD55F7">
        <w:rPr>
          <w:rFonts w:ascii="Calibri" w:hAnsi="Calibri"/>
          <w:color w:val="000000"/>
          <w:sz w:val="22"/>
          <w:szCs w:val="22"/>
          <w:lang w:val="en-US"/>
        </w:rPr>
        <w:t>, the third fact stopped being true</w:t>
      </w:r>
      <w:r w:rsidR="007D6A35">
        <w:rPr>
          <w:rFonts w:ascii="Calibri" w:hAnsi="Calibri"/>
          <w:color w:val="000000"/>
          <w:sz w:val="22"/>
          <w:szCs w:val="22"/>
          <w:lang w:val="en-US"/>
        </w:rPr>
        <w:t xml:space="preserve"> as </w:t>
      </w:r>
      <w:r w:rsidR="004217DE">
        <w:rPr>
          <w:rFonts w:ascii="Calibri" w:hAnsi="Calibri"/>
          <w:color w:val="000000"/>
          <w:sz w:val="22"/>
          <w:szCs w:val="22"/>
          <w:lang w:val="en-US"/>
        </w:rPr>
        <w:t>long ago as the 1990s</w:t>
      </w:r>
      <w:r w:rsidR="00BD55F7">
        <w:rPr>
          <w:rFonts w:ascii="Calibri" w:hAnsi="Calibri"/>
          <w:color w:val="000000"/>
          <w:sz w:val="22"/>
          <w:szCs w:val="22"/>
          <w:lang w:val="en-US"/>
        </w:rPr>
        <w:t>.</w:t>
      </w:r>
    </w:p>
    <w:p w:rsidR="009A19DE" w:rsidRDefault="009A19DE" w:rsidP="00193BA6">
      <w:pPr>
        <w:spacing w:before="0" w:after="0"/>
        <w:rPr>
          <w:rFonts w:ascii="Calibri" w:hAnsi="Calibri"/>
          <w:color w:val="000000"/>
          <w:sz w:val="22"/>
          <w:szCs w:val="22"/>
          <w:lang w:val="en-US"/>
        </w:rPr>
      </w:pPr>
    </w:p>
    <w:p w:rsidR="00193BA6" w:rsidRPr="00193BA6" w:rsidRDefault="005F0FEC" w:rsidP="00193BA6">
      <w:pPr>
        <w:spacing w:before="0" w:after="0"/>
        <w:rPr>
          <w:rFonts w:ascii="Calibri" w:hAnsi="Calibri"/>
          <w:color w:val="000000"/>
          <w:sz w:val="22"/>
          <w:szCs w:val="22"/>
          <w:lang w:val="en-US"/>
        </w:rPr>
      </w:pPr>
      <w:r>
        <w:rPr>
          <w:rFonts w:ascii="Calibri" w:hAnsi="Calibri"/>
          <w:color w:val="000000"/>
          <w:sz w:val="22"/>
          <w:szCs w:val="22"/>
          <w:lang w:val="en-US"/>
        </w:rPr>
        <w:t>In</w:t>
      </w:r>
      <w:r w:rsidR="00466D72">
        <w:rPr>
          <w:rFonts w:ascii="Calibri" w:hAnsi="Calibri"/>
          <w:color w:val="000000"/>
          <w:sz w:val="22"/>
          <w:szCs w:val="22"/>
          <w:lang w:val="en-US"/>
        </w:rPr>
        <w:t xml:space="preserve"> </w:t>
      </w:r>
      <w:r w:rsidR="00193BA6" w:rsidRPr="00193BA6">
        <w:rPr>
          <w:rFonts w:ascii="Calibri" w:hAnsi="Calibri"/>
          <w:color w:val="000000"/>
          <w:sz w:val="22"/>
          <w:szCs w:val="22"/>
          <w:lang w:val="en-US"/>
        </w:rPr>
        <w:t xml:space="preserve">1953/54, </w:t>
      </w:r>
      <w:r w:rsidR="00466D72">
        <w:rPr>
          <w:rFonts w:ascii="Calibri" w:hAnsi="Calibri"/>
          <w:color w:val="000000"/>
          <w:sz w:val="22"/>
          <w:szCs w:val="22"/>
          <w:lang w:val="en-US"/>
        </w:rPr>
        <w:t>when good survey ev</w:t>
      </w:r>
      <w:r w:rsidR="00137666">
        <w:rPr>
          <w:rFonts w:ascii="Calibri" w:hAnsi="Calibri"/>
          <w:color w:val="000000"/>
          <w:sz w:val="22"/>
          <w:szCs w:val="22"/>
          <w:lang w:val="en-US"/>
        </w:rPr>
        <w:t>ide</w:t>
      </w:r>
      <w:r w:rsidR="00466D72">
        <w:rPr>
          <w:rFonts w:ascii="Calibri" w:hAnsi="Calibri"/>
          <w:color w:val="000000"/>
          <w:sz w:val="22"/>
          <w:szCs w:val="22"/>
          <w:lang w:val="en-US"/>
        </w:rPr>
        <w:t xml:space="preserve">nce starts, </w:t>
      </w:r>
      <w:r w:rsidR="00193BA6" w:rsidRPr="00193BA6">
        <w:rPr>
          <w:rFonts w:ascii="Calibri" w:hAnsi="Calibri"/>
          <w:color w:val="000000"/>
          <w:sz w:val="22"/>
          <w:szCs w:val="22"/>
          <w:lang w:val="en-US"/>
        </w:rPr>
        <w:t>the median income of owners (</w:t>
      </w:r>
      <w:r w:rsidR="006A771E">
        <w:rPr>
          <w:rFonts w:ascii="Calibri" w:hAnsi="Calibri"/>
          <w:color w:val="000000"/>
          <w:sz w:val="22"/>
          <w:szCs w:val="22"/>
          <w:lang w:val="en-US"/>
        </w:rPr>
        <w:t>then 32</w:t>
      </w:r>
      <w:r w:rsidR="00193BA6" w:rsidRPr="00193BA6">
        <w:rPr>
          <w:rFonts w:ascii="Calibri" w:hAnsi="Calibri"/>
          <w:color w:val="000000"/>
          <w:sz w:val="22"/>
          <w:szCs w:val="22"/>
          <w:lang w:val="en-US"/>
        </w:rPr>
        <w:t xml:space="preserve">% of households) was </w:t>
      </w:r>
      <w:r>
        <w:rPr>
          <w:rFonts w:ascii="Calibri" w:hAnsi="Calibri"/>
          <w:color w:val="000000"/>
          <w:sz w:val="22"/>
          <w:szCs w:val="22"/>
          <w:lang w:val="en-US"/>
        </w:rPr>
        <w:t>the high</w:t>
      </w:r>
      <w:r w:rsidR="004217DE">
        <w:rPr>
          <w:rFonts w:ascii="Calibri" w:hAnsi="Calibri"/>
          <w:color w:val="000000"/>
          <w:sz w:val="22"/>
          <w:szCs w:val="22"/>
          <w:lang w:val="en-US"/>
        </w:rPr>
        <w:t>est of the tenure groups</w:t>
      </w:r>
      <w:r w:rsidR="006A771E">
        <w:rPr>
          <w:rFonts w:ascii="Calibri" w:hAnsi="Calibri"/>
          <w:color w:val="000000"/>
          <w:sz w:val="22"/>
          <w:szCs w:val="22"/>
          <w:lang w:val="en-US"/>
        </w:rPr>
        <w:t>. However</w:t>
      </w:r>
      <w:r w:rsidR="004217DE">
        <w:rPr>
          <w:rFonts w:ascii="Calibri" w:hAnsi="Calibri"/>
          <w:color w:val="000000"/>
          <w:sz w:val="22"/>
          <w:szCs w:val="22"/>
          <w:lang w:val="en-US"/>
        </w:rPr>
        <w:t>, council</w:t>
      </w:r>
      <w:r>
        <w:rPr>
          <w:rFonts w:ascii="Calibri" w:hAnsi="Calibri"/>
          <w:color w:val="000000"/>
          <w:sz w:val="22"/>
          <w:szCs w:val="22"/>
          <w:lang w:val="en-US"/>
        </w:rPr>
        <w:t xml:space="preserve"> t</w:t>
      </w:r>
      <w:r w:rsidR="004217DE">
        <w:rPr>
          <w:rFonts w:ascii="Calibri" w:hAnsi="Calibri"/>
          <w:color w:val="000000"/>
          <w:sz w:val="22"/>
          <w:szCs w:val="22"/>
          <w:lang w:val="en-US"/>
        </w:rPr>
        <w:t>enan</w:t>
      </w:r>
      <w:r>
        <w:rPr>
          <w:rFonts w:ascii="Calibri" w:hAnsi="Calibri"/>
          <w:color w:val="000000"/>
          <w:sz w:val="22"/>
          <w:szCs w:val="22"/>
          <w:lang w:val="en-US"/>
        </w:rPr>
        <w:t>ts were not far behind, and the lowest income group was</w:t>
      </w:r>
      <w:r w:rsidR="00A1715E">
        <w:rPr>
          <w:rFonts w:ascii="Calibri" w:hAnsi="Calibri"/>
          <w:color w:val="000000"/>
          <w:sz w:val="22"/>
          <w:szCs w:val="22"/>
          <w:lang w:val="en-US"/>
        </w:rPr>
        <w:t xml:space="preserve"> private renters</w:t>
      </w:r>
      <w:r w:rsidR="00C30D8B">
        <w:rPr>
          <w:rFonts w:ascii="Calibri" w:hAnsi="Calibri"/>
          <w:color w:val="000000"/>
          <w:sz w:val="22"/>
          <w:szCs w:val="22"/>
          <w:lang w:val="en-US"/>
        </w:rPr>
        <w:t xml:space="preserve">. </w:t>
      </w:r>
      <w:r w:rsidR="00041ED3">
        <w:rPr>
          <w:rFonts w:ascii="Calibri" w:hAnsi="Calibri"/>
          <w:color w:val="000000"/>
          <w:sz w:val="22"/>
          <w:szCs w:val="22"/>
          <w:lang w:val="en-US"/>
        </w:rPr>
        <w:t>Council</w:t>
      </w:r>
      <w:r>
        <w:rPr>
          <w:rFonts w:ascii="Calibri" w:hAnsi="Calibri"/>
          <w:color w:val="000000"/>
          <w:sz w:val="22"/>
          <w:szCs w:val="22"/>
          <w:lang w:val="en-US"/>
        </w:rPr>
        <w:t xml:space="preserve"> t</w:t>
      </w:r>
      <w:r w:rsidR="00041ED3">
        <w:rPr>
          <w:rFonts w:ascii="Calibri" w:hAnsi="Calibri"/>
          <w:color w:val="000000"/>
          <w:sz w:val="22"/>
          <w:szCs w:val="22"/>
          <w:lang w:val="en-US"/>
        </w:rPr>
        <w:t>enant</w:t>
      </w:r>
      <w:r>
        <w:rPr>
          <w:rFonts w:ascii="Calibri" w:hAnsi="Calibri"/>
          <w:color w:val="000000"/>
          <w:sz w:val="22"/>
          <w:szCs w:val="22"/>
          <w:lang w:val="en-US"/>
        </w:rPr>
        <w:t xml:space="preserve">s were distinguished </w:t>
      </w:r>
      <w:r w:rsidR="00137666">
        <w:rPr>
          <w:rFonts w:ascii="Calibri" w:hAnsi="Calibri"/>
          <w:color w:val="000000"/>
          <w:sz w:val="22"/>
          <w:szCs w:val="22"/>
          <w:lang w:val="en-US"/>
        </w:rPr>
        <w:t>on</w:t>
      </w:r>
      <w:r>
        <w:rPr>
          <w:rFonts w:ascii="Calibri" w:hAnsi="Calibri"/>
          <w:color w:val="000000"/>
          <w:sz w:val="22"/>
          <w:szCs w:val="22"/>
          <w:lang w:val="en-US"/>
        </w:rPr>
        <w:t xml:space="preserve">ly by their </w:t>
      </w:r>
      <w:proofErr w:type="spellStart"/>
      <w:r>
        <w:rPr>
          <w:rFonts w:ascii="Calibri" w:hAnsi="Calibri"/>
          <w:color w:val="000000"/>
          <w:sz w:val="22"/>
          <w:szCs w:val="22"/>
          <w:lang w:val="en-US"/>
        </w:rPr>
        <w:t>middlingness</w:t>
      </w:r>
      <w:proofErr w:type="spellEnd"/>
      <w:r w:rsidR="00193BA6" w:rsidRPr="00193BA6">
        <w:rPr>
          <w:rFonts w:ascii="Calibri" w:hAnsi="Calibri"/>
          <w:color w:val="000000"/>
          <w:sz w:val="22"/>
          <w:szCs w:val="22"/>
          <w:vertAlign w:val="superscript"/>
          <w:lang w:val="en-US"/>
        </w:rPr>
        <w:endnoteReference w:id="1"/>
      </w:r>
      <w:r w:rsidR="00193BA6" w:rsidRPr="00193BA6">
        <w:rPr>
          <w:rFonts w:ascii="Calibri" w:hAnsi="Calibri"/>
          <w:color w:val="000000"/>
          <w:sz w:val="22"/>
          <w:szCs w:val="22"/>
          <w:lang w:val="en-US"/>
        </w:rPr>
        <w:t xml:space="preserve">. </w:t>
      </w:r>
      <w:r>
        <w:rPr>
          <w:rFonts w:ascii="Calibri" w:hAnsi="Calibri"/>
          <w:color w:val="000000"/>
          <w:sz w:val="22"/>
          <w:szCs w:val="22"/>
          <w:lang w:val="en-US"/>
        </w:rPr>
        <w:t>Th</w:t>
      </w:r>
      <w:r w:rsidR="00A1715E">
        <w:rPr>
          <w:rFonts w:ascii="Calibri" w:hAnsi="Calibri"/>
          <w:color w:val="000000"/>
          <w:sz w:val="22"/>
          <w:szCs w:val="22"/>
          <w:lang w:val="en-US"/>
        </w:rPr>
        <w:t>i</w:t>
      </w:r>
      <w:r>
        <w:rPr>
          <w:rFonts w:ascii="Calibri" w:hAnsi="Calibri"/>
          <w:color w:val="000000"/>
          <w:sz w:val="22"/>
          <w:szCs w:val="22"/>
          <w:lang w:val="en-US"/>
        </w:rPr>
        <w:t xml:space="preserve">s pattern </w:t>
      </w:r>
      <w:r w:rsidR="00137666">
        <w:rPr>
          <w:rFonts w:ascii="Calibri" w:hAnsi="Calibri"/>
          <w:color w:val="000000"/>
          <w:sz w:val="22"/>
          <w:szCs w:val="22"/>
          <w:lang w:val="en-US"/>
        </w:rPr>
        <w:t>was stable</w:t>
      </w:r>
      <w:r>
        <w:rPr>
          <w:rFonts w:ascii="Calibri" w:hAnsi="Calibri"/>
          <w:color w:val="000000"/>
          <w:sz w:val="22"/>
          <w:szCs w:val="22"/>
          <w:lang w:val="en-US"/>
        </w:rPr>
        <w:t xml:space="preserve"> over the next de</w:t>
      </w:r>
      <w:r w:rsidR="00137666">
        <w:rPr>
          <w:rFonts w:ascii="Calibri" w:hAnsi="Calibri"/>
          <w:color w:val="000000"/>
          <w:sz w:val="22"/>
          <w:szCs w:val="22"/>
          <w:lang w:val="en-US"/>
        </w:rPr>
        <w:t>cade</w:t>
      </w:r>
      <w:r>
        <w:rPr>
          <w:rFonts w:ascii="Calibri" w:hAnsi="Calibri"/>
          <w:color w:val="000000"/>
          <w:sz w:val="22"/>
          <w:szCs w:val="22"/>
          <w:lang w:val="en-US"/>
        </w:rPr>
        <w:t xml:space="preserve"> and a bit, </w:t>
      </w:r>
      <w:r w:rsidR="00193BA6" w:rsidRPr="00193BA6">
        <w:rPr>
          <w:rFonts w:ascii="Calibri" w:hAnsi="Calibri"/>
          <w:color w:val="000000"/>
          <w:sz w:val="22"/>
          <w:szCs w:val="22"/>
          <w:lang w:val="en-US"/>
        </w:rPr>
        <w:t xml:space="preserve">despite </w:t>
      </w:r>
      <w:r>
        <w:rPr>
          <w:rFonts w:ascii="Calibri" w:hAnsi="Calibri"/>
          <w:color w:val="000000"/>
          <w:sz w:val="22"/>
          <w:szCs w:val="22"/>
          <w:lang w:val="en-US"/>
        </w:rPr>
        <w:t>the steep fall in private re</w:t>
      </w:r>
      <w:r w:rsidR="00137666">
        <w:rPr>
          <w:rFonts w:ascii="Calibri" w:hAnsi="Calibri"/>
          <w:color w:val="000000"/>
          <w:sz w:val="22"/>
          <w:szCs w:val="22"/>
          <w:lang w:val="en-US"/>
        </w:rPr>
        <w:t>n</w:t>
      </w:r>
      <w:r>
        <w:rPr>
          <w:rFonts w:ascii="Calibri" w:hAnsi="Calibri"/>
          <w:color w:val="000000"/>
          <w:sz w:val="22"/>
          <w:szCs w:val="22"/>
          <w:lang w:val="en-US"/>
        </w:rPr>
        <w:t>ting and</w:t>
      </w:r>
      <w:r w:rsidR="00193BA6" w:rsidRPr="00193BA6">
        <w:rPr>
          <w:rFonts w:ascii="Calibri" w:hAnsi="Calibri"/>
          <w:i/>
          <w:color w:val="000000"/>
          <w:sz w:val="22"/>
          <w:szCs w:val="22"/>
          <w:lang w:val="en-US"/>
        </w:rPr>
        <w:t xml:space="preserve"> </w:t>
      </w:r>
      <w:r w:rsidR="00193BA6" w:rsidRPr="00A1715E">
        <w:rPr>
          <w:rFonts w:ascii="Calibri" w:hAnsi="Calibri"/>
          <w:color w:val="000000"/>
          <w:sz w:val="22"/>
          <w:szCs w:val="22"/>
          <w:lang w:val="en-US"/>
        </w:rPr>
        <w:t xml:space="preserve">big increases in home ownership and </w:t>
      </w:r>
      <w:r w:rsidR="007C1066">
        <w:rPr>
          <w:rFonts w:ascii="Calibri" w:hAnsi="Calibri"/>
          <w:color w:val="000000"/>
          <w:sz w:val="22"/>
          <w:szCs w:val="22"/>
          <w:lang w:val="en-US"/>
        </w:rPr>
        <w:t>council</w:t>
      </w:r>
      <w:r w:rsidR="00193BA6" w:rsidRPr="00A1715E">
        <w:rPr>
          <w:rFonts w:ascii="Calibri" w:hAnsi="Calibri"/>
          <w:color w:val="000000"/>
          <w:sz w:val="22"/>
          <w:szCs w:val="22"/>
          <w:lang w:val="en-US"/>
        </w:rPr>
        <w:t xml:space="preserve"> renting</w:t>
      </w:r>
      <w:r w:rsidR="00137666" w:rsidRPr="00A1715E">
        <w:rPr>
          <w:rFonts w:ascii="Calibri" w:hAnsi="Calibri"/>
          <w:color w:val="000000"/>
          <w:sz w:val="22"/>
          <w:szCs w:val="22"/>
          <w:lang w:val="en-US"/>
        </w:rPr>
        <w:t xml:space="preserve"> </w:t>
      </w:r>
      <w:r w:rsidR="007C1066">
        <w:rPr>
          <w:rFonts w:ascii="Calibri" w:hAnsi="Calibri"/>
          <w:color w:val="000000"/>
          <w:sz w:val="22"/>
          <w:szCs w:val="22"/>
          <w:lang w:val="en-US"/>
        </w:rPr>
        <w:t>underway</w:t>
      </w:r>
      <w:r w:rsidR="00A1715E">
        <w:rPr>
          <w:rFonts w:ascii="Calibri" w:hAnsi="Calibri"/>
          <w:color w:val="000000"/>
          <w:sz w:val="22"/>
          <w:szCs w:val="22"/>
          <w:lang w:val="en-US"/>
        </w:rPr>
        <w:t xml:space="preserve">. </w:t>
      </w:r>
      <w:r w:rsidR="00466D72">
        <w:rPr>
          <w:rFonts w:ascii="Calibri" w:hAnsi="Calibri"/>
          <w:color w:val="000000"/>
          <w:sz w:val="22"/>
          <w:szCs w:val="22"/>
          <w:lang w:val="en-US"/>
        </w:rPr>
        <w:t xml:space="preserve">In </w:t>
      </w:r>
      <w:r w:rsidR="00137666">
        <w:rPr>
          <w:rFonts w:ascii="Calibri" w:hAnsi="Calibri"/>
          <w:color w:val="000000"/>
          <w:sz w:val="22"/>
          <w:szCs w:val="22"/>
          <w:lang w:val="en-US"/>
        </w:rPr>
        <w:t>1</w:t>
      </w:r>
      <w:r w:rsidR="00466D72">
        <w:rPr>
          <w:rFonts w:ascii="Calibri" w:hAnsi="Calibri"/>
          <w:color w:val="000000"/>
          <w:sz w:val="22"/>
          <w:szCs w:val="22"/>
          <w:lang w:val="en-US"/>
        </w:rPr>
        <w:t xml:space="preserve">968, </w:t>
      </w:r>
      <w:r w:rsidR="00C5520D">
        <w:rPr>
          <w:rFonts w:ascii="Calibri" w:hAnsi="Calibri"/>
          <w:color w:val="000000"/>
          <w:sz w:val="22"/>
          <w:szCs w:val="22"/>
          <w:lang w:val="en-US"/>
        </w:rPr>
        <w:t>council</w:t>
      </w:r>
      <w:r w:rsidR="00193BA6" w:rsidRPr="00193BA6">
        <w:rPr>
          <w:rFonts w:ascii="Calibri" w:hAnsi="Calibri"/>
          <w:color w:val="000000"/>
          <w:sz w:val="22"/>
          <w:szCs w:val="22"/>
          <w:lang w:val="en-US"/>
        </w:rPr>
        <w:t xml:space="preserve"> tenants’ incomes were about 90% of the national average</w:t>
      </w:r>
      <w:r w:rsidR="00193BA6" w:rsidRPr="00193BA6">
        <w:rPr>
          <w:rFonts w:ascii="Calibri" w:hAnsi="Calibri"/>
          <w:color w:val="000000"/>
          <w:sz w:val="22"/>
          <w:szCs w:val="22"/>
          <w:vertAlign w:val="superscript"/>
          <w:lang w:val="en-US"/>
        </w:rPr>
        <w:endnoteReference w:id="2"/>
      </w:r>
      <w:r w:rsidR="00193BA6" w:rsidRPr="00193BA6">
        <w:rPr>
          <w:rFonts w:ascii="Calibri" w:hAnsi="Calibri"/>
          <w:color w:val="000000"/>
          <w:sz w:val="22"/>
          <w:szCs w:val="22"/>
          <w:lang w:val="en-US"/>
        </w:rPr>
        <w:t xml:space="preserve"> .</w:t>
      </w:r>
    </w:p>
    <w:p w:rsidR="00193BA6" w:rsidRPr="00193BA6" w:rsidRDefault="00193BA6" w:rsidP="00193BA6">
      <w:pPr>
        <w:spacing w:before="0" w:after="0"/>
        <w:rPr>
          <w:rFonts w:ascii="Calibri" w:hAnsi="Calibri"/>
          <w:color w:val="000000"/>
          <w:sz w:val="22"/>
          <w:szCs w:val="22"/>
          <w:lang w:val="en-US"/>
        </w:rPr>
      </w:pPr>
    </w:p>
    <w:p w:rsidR="006A771E" w:rsidRDefault="00193BA6" w:rsidP="00193BA6">
      <w:pPr>
        <w:spacing w:before="0" w:after="0"/>
        <w:rPr>
          <w:rFonts w:ascii="Calibri" w:hAnsi="Calibri"/>
          <w:color w:val="000000"/>
          <w:sz w:val="22"/>
          <w:szCs w:val="22"/>
          <w:lang w:val="en-US"/>
        </w:rPr>
      </w:pPr>
      <w:r w:rsidRPr="00193BA6">
        <w:rPr>
          <w:rFonts w:ascii="Calibri" w:hAnsi="Calibri"/>
          <w:color w:val="000000"/>
          <w:sz w:val="22"/>
          <w:szCs w:val="22"/>
          <w:lang w:val="en-US"/>
        </w:rPr>
        <w:t xml:space="preserve">However, from </w:t>
      </w:r>
      <w:r w:rsidR="00137666">
        <w:rPr>
          <w:rFonts w:ascii="Calibri" w:hAnsi="Calibri"/>
          <w:color w:val="000000"/>
          <w:sz w:val="22"/>
          <w:szCs w:val="22"/>
          <w:lang w:val="en-US"/>
        </w:rPr>
        <w:t>this point on</w:t>
      </w:r>
      <w:r w:rsidR="00C5520D">
        <w:rPr>
          <w:rFonts w:ascii="Calibri" w:hAnsi="Calibri"/>
          <w:color w:val="000000"/>
          <w:sz w:val="22"/>
          <w:szCs w:val="22"/>
          <w:lang w:val="en-US"/>
        </w:rPr>
        <w:t xml:space="preserve">, </w:t>
      </w:r>
      <w:r w:rsidR="00137666">
        <w:rPr>
          <w:rFonts w:ascii="Calibri" w:hAnsi="Calibri"/>
          <w:color w:val="000000"/>
          <w:sz w:val="22"/>
          <w:szCs w:val="22"/>
          <w:lang w:val="en-US"/>
        </w:rPr>
        <w:t>owners</w:t>
      </w:r>
      <w:r w:rsidRPr="00193BA6">
        <w:rPr>
          <w:rFonts w:ascii="Calibri" w:hAnsi="Calibri"/>
          <w:color w:val="000000"/>
          <w:sz w:val="22"/>
          <w:szCs w:val="22"/>
          <w:lang w:val="en-US"/>
        </w:rPr>
        <w:t xml:space="preserve"> </w:t>
      </w:r>
      <w:r w:rsidR="004217DE">
        <w:rPr>
          <w:rFonts w:ascii="Calibri" w:hAnsi="Calibri"/>
          <w:color w:val="000000"/>
          <w:sz w:val="22"/>
          <w:szCs w:val="22"/>
          <w:lang w:val="en-US"/>
        </w:rPr>
        <w:t xml:space="preserve">and </w:t>
      </w:r>
      <w:r w:rsidR="00C5520D">
        <w:rPr>
          <w:rFonts w:ascii="Calibri" w:hAnsi="Calibri"/>
          <w:color w:val="000000"/>
          <w:sz w:val="22"/>
          <w:szCs w:val="22"/>
          <w:lang w:val="en-US"/>
        </w:rPr>
        <w:t xml:space="preserve">council </w:t>
      </w:r>
      <w:r w:rsidR="004217DE">
        <w:rPr>
          <w:rFonts w:ascii="Calibri" w:hAnsi="Calibri"/>
          <w:color w:val="000000"/>
          <w:sz w:val="22"/>
          <w:szCs w:val="22"/>
          <w:lang w:val="en-US"/>
        </w:rPr>
        <w:t>tenants began to diver</w:t>
      </w:r>
      <w:r w:rsidR="005F0FEC">
        <w:rPr>
          <w:rFonts w:ascii="Calibri" w:hAnsi="Calibri"/>
          <w:color w:val="000000"/>
          <w:sz w:val="22"/>
          <w:szCs w:val="22"/>
          <w:lang w:val="en-US"/>
        </w:rPr>
        <w:t xml:space="preserve">ge. </w:t>
      </w:r>
      <w:r w:rsidR="00A1715E">
        <w:rPr>
          <w:rFonts w:ascii="Calibri" w:hAnsi="Calibri"/>
          <w:color w:val="000000"/>
          <w:sz w:val="22"/>
          <w:szCs w:val="22"/>
          <w:lang w:val="en-US"/>
        </w:rPr>
        <w:t>H</w:t>
      </w:r>
      <w:r w:rsidR="00137666">
        <w:rPr>
          <w:rFonts w:ascii="Calibri" w:hAnsi="Calibri"/>
          <w:color w:val="000000"/>
          <w:sz w:val="22"/>
          <w:szCs w:val="22"/>
          <w:lang w:val="en-US"/>
        </w:rPr>
        <w:t>ousehold</w:t>
      </w:r>
      <w:r w:rsidR="00A1715E">
        <w:rPr>
          <w:rFonts w:ascii="Calibri" w:hAnsi="Calibri"/>
          <w:color w:val="000000"/>
          <w:sz w:val="22"/>
          <w:szCs w:val="22"/>
          <w:lang w:val="en-US"/>
        </w:rPr>
        <w:t>s</w:t>
      </w:r>
      <w:r w:rsidR="00137666">
        <w:rPr>
          <w:rFonts w:ascii="Calibri" w:hAnsi="Calibri"/>
          <w:color w:val="000000"/>
          <w:sz w:val="22"/>
          <w:szCs w:val="22"/>
          <w:lang w:val="en-US"/>
        </w:rPr>
        <w:t xml:space="preserve"> leaving </w:t>
      </w:r>
      <w:r w:rsidR="006A771E">
        <w:rPr>
          <w:rFonts w:ascii="Calibri" w:hAnsi="Calibri"/>
          <w:color w:val="000000"/>
          <w:sz w:val="22"/>
          <w:szCs w:val="22"/>
          <w:lang w:val="en-US"/>
        </w:rPr>
        <w:t>the fairly mixed</w:t>
      </w:r>
      <w:r w:rsidR="005F0FEC">
        <w:rPr>
          <w:rFonts w:ascii="Calibri" w:hAnsi="Calibri"/>
          <w:color w:val="000000"/>
          <w:sz w:val="22"/>
          <w:szCs w:val="22"/>
          <w:lang w:val="en-US"/>
        </w:rPr>
        <w:t xml:space="preserve"> </w:t>
      </w:r>
      <w:r w:rsidR="00137666">
        <w:rPr>
          <w:rFonts w:ascii="Calibri" w:hAnsi="Calibri"/>
          <w:color w:val="000000"/>
          <w:sz w:val="22"/>
          <w:szCs w:val="22"/>
          <w:lang w:val="en-US"/>
        </w:rPr>
        <w:t xml:space="preserve">private rented </w:t>
      </w:r>
      <w:r w:rsidR="005F0FEC">
        <w:rPr>
          <w:rFonts w:ascii="Calibri" w:hAnsi="Calibri"/>
          <w:color w:val="000000"/>
          <w:sz w:val="22"/>
          <w:szCs w:val="22"/>
          <w:lang w:val="en-US"/>
        </w:rPr>
        <w:t>sector were</w:t>
      </w:r>
      <w:r w:rsidR="00137666">
        <w:rPr>
          <w:rFonts w:ascii="Calibri" w:hAnsi="Calibri"/>
          <w:color w:val="000000"/>
          <w:sz w:val="22"/>
          <w:szCs w:val="22"/>
          <w:lang w:val="en-US"/>
        </w:rPr>
        <w:t xml:space="preserve"> increasingly divided into sheep and goats</w:t>
      </w:r>
      <w:r w:rsidR="005F0FEC" w:rsidRPr="00193BA6">
        <w:rPr>
          <w:rFonts w:ascii="Calibri" w:hAnsi="Calibri"/>
          <w:color w:val="000000"/>
          <w:sz w:val="22"/>
          <w:szCs w:val="22"/>
          <w:lang w:val="en-US"/>
        </w:rPr>
        <w:t xml:space="preserve">. </w:t>
      </w:r>
      <w:r w:rsidR="009A73FD">
        <w:rPr>
          <w:rFonts w:ascii="Calibri" w:hAnsi="Calibri"/>
          <w:color w:val="000000"/>
          <w:sz w:val="22"/>
          <w:szCs w:val="22"/>
          <w:lang w:val="en-US"/>
        </w:rPr>
        <w:t>In addition, o</w:t>
      </w:r>
      <w:r w:rsidR="00A1715E">
        <w:rPr>
          <w:rFonts w:ascii="Calibri" w:hAnsi="Calibri"/>
          <w:color w:val="000000"/>
          <w:sz w:val="22"/>
          <w:szCs w:val="22"/>
          <w:lang w:val="en-US"/>
        </w:rPr>
        <w:t xml:space="preserve">verall </w:t>
      </w:r>
      <w:r w:rsidR="004217DE">
        <w:rPr>
          <w:rFonts w:ascii="Calibri" w:hAnsi="Calibri"/>
          <w:color w:val="000000"/>
          <w:sz w:val="22"/>
          <w:szCs w:val="22"/>
          <w:lang w:val="en-US"/>
        </w:rPr>
        <w:t xml:space="preserve">income </w:t>
      </w:r>
      <w:r w:rsidR="00A1715E">
        <w:rPr>
          <w:rFonts w:ascii="Calibri" w:hAnsi="Calibri"/>
          <w:color w:val="000000"/>
          <w:sz w:val="22"/>
          <w:szCs w:val="22"/>
          <w:lang w:val="en-US"/>
        </w:rPr>
        <w:t>inequality</w:t>
      </w:r>
      <w:r w:rsidR="009A73FD">
        <w:rPr>
          <w:rFonts w:ascii="Calibri" w:hAnsi="Calibri"/>
          <w:color w:val="000000"/>
          <w:sz w:val="22"/>
          <w:szCs w:val="22"/>
          <w:lang w:val="en-US"/>
        </w:rPr>
        <w:t xml:space="preserve"> started to grow sharply in the late 1970s</w:t>
      </w:r>
      <w:r w:rsidR="00F45BB3">
        <w:rPr>
          <w:rFonts w:ascii="Calibri" w:hAnsi="Calibri"/>
          <w:color w:val="000000"/>
          <w:sz w:val="22"/>
          <w:szCs w:val="22"/>
          <w:lang w:val="en-US"/>
        </w:rPr>
        <w:t xml:space="preserve">, </w:t>
      </w:r>
      <w:r w:rsidR="00C5520D">
        <w:rPr>
          <w:rFonts w:ascii="Calibri" w:hAnsi="Calibri"/>
          <w:color w:val="000000"/>
          <w:sz w:val="22"/>
          <w:szCs w:val="22"/>
          <w:lang w:val="en-US"/>
        </w:rPr>
        <w:t>increasing the difference</w:t>
      </w:r>
      <w:r w:rsidR="00F45BB3">
        <w:rPr>
          <w:rFonts w:ascii="Calibri" w:hAnsi="Calibri"/>
          <w:color w:val="000000"/>
          <w:sz w:val="22"/>
          <w:szCs w:val="22"/>
          <w:lang w:val="en-US"/>
        </w:rPr>
        <w:t xml:space="preserve"> between the two types of </w:t>
      </w:r>
      <w:r w:rsidR="00BD55F7">
        <w:rPr>
          <w:rFonts w:ascii="Calibri" w:hAnsi="Calibri"/>
          <w:color w:val="000000"/>
          <w:sz w:val="22"/>
          <w:szCs w:val="22"/>
          <w:lang w:val="en-US"/>
        </w:rPr>
        <w:lastRenderedPageBreak/>
        <w:t>herbivores</w:t>
      </w:r>
      <w:r w:rsidR="009A73FD">
        <w:rPr>
          <w:rStyle w:val="EndnoteReference"/>
        </w:rPr>
        <w:endnoteReference w:id="3"/>
      </w:r>
      <w:r w:rsidR="009A73FD">
        <w:t xml:space="preserve">. </w:t>
      </w:r>
      <w:r w:rsidR="00137666">
        <w:rPr>
          <w:rFonts w:ascii="Calibri" w:hAnsi="Calibri"/>
          <w:color w:val="000000"/>
          <w:sz w:val="22"/>
          <w:szCs w:val="22"/>
          <w:lang w:val="en-US"/>
        </w:rPr>
        <w:t>R</w:t>
      </w:r>
      <w:r w:rsidR="00137666" w:rsidRPr="00193BA6">
        <w:rPr>
          <w:rFonts w:ascii="Calibri" w:hAnsi="Calibri"/>
          <w:color w:val="000000"/>
          <w:sz w:val="22"/>
          <w:szCs w:val="22"/>
          <w:lang w:val="en-US"/>
        </w:rPr>
        <w:t xml:space="preserve">esearchers </w:t>
      </w:r>
      <w:r w:rsidR="00041ED3">
        <w:rPr>
          <w:rFonts w:ascii="Calibri" w:hAnsi="Calibri"/>
          <w:color w:val="000000"/>
          <w:sz w:val="22"/>
          <w:szCs w:val="22"/>
          <w:lang w:val="en-US"/>
        </w:rPr>
        <w:t xml:space="preserve">and policymakers </w:t>
      </w:r>
      <w:r w:rsidR="00137666" w:rsidRPr="00193BA6">
        <w:rPr>
          <w:rFonts w:ascii="Calibri" w:hAnsi="Calibri"/>
          <w:color w:val="000000"/>
          <w:sz w:val="22"/>
          <w:szCs w:val="22"/>
          <w:lang w:val="en-US"/>
        </w:rPr>
        <w:t>bega</w:t>
      </w:r>
      <w:r w:rsidR="006A771E">
        <w:rPr>
          <w:rFonts w:ascii="Calibri" w:hAnsi="Calibri"/>
          <w:color w:val="000000"/>
          <w:sz w:val="22"/>
          <w:szCs w:val="22"/>
          <w:lang w:val="en-US"/>
        </w:rPr>
        <w:t>n to be concerned about ‘</w:t>
      </w:r>
      <w:proofErr w:type="spellStart"/>
      <w:r w:rsidR="006A771E">
        <w:rPr>
          <w:rFonts w:ascii="Calibri" w:hAnsi="Calibri"/>
          <w:color w:val="000000"/>
          <w:sz w:val="22"/>
          <w:szCs w:val="22"/>
          <w:lang w:val="en-US"/>
        </w:rPr>
        <w:t>polaris</w:t>
      </w:r>
      <w:r w:rsidR="00137666" w:rsidRPr="00193BA6">
        <w:rPr>
          <w:rFonts w:ascii="Calibri" w:hAnsi="Calibri"/>
          <w:color w:val="000000"/>
          <w:sz w:val="22"/>
          <w:szCs w:val="22"/>
          <w:lang w:val="en-US"/>
        </w:rPr>
        <w:t>ation</w:t>
      </w:r>
      <w:proofErr w:type="spellEnd"/>
      <w:r w:rsidR="00137666" w:rsidRPr="00193BA6">
        <w:rPr>
          <w:rFonts w:ascii="Calibri" w:hAnsi="Calibri"/>
          <w:color w:val="000000"/>
          <w:sz w:val="22"/>
          <w:szCs w:val="22"/>
          <w:lang w:val="en-US"/>
        </w:rPr>
        <w:t xml:space="preserve">’ </w:t>
      </w:r>
      <w:r w:rsidR="00F45BB3">
        <w:rPr>
          <w:rFonts w:ascii="Calibri" w:hAnsi="Calibri"/>
          <w:color w:val="000000"/>
          <w:sz w:val="22"/>
          <w:szCs w:val="22"/>
          <w:lang w:val="en-US"/>
        </w:rPr>
        <w:t>in terms of income</w:t>
      </w:r>
      <w:r w:rsidR="00BD55F7">
        <w:rPr>
          <w:rFonts w:ascii="Calibri" w:hAnsi="Calibri"/>
          <w:color w:val="000000"/>
          <w:sz w:val="22"/>
          <w:szCs w:val="22"/>
          <w:lang w:val="en-US"/>
        </w:rPr>
        <w:t xml:space="preserve"> and</w:t>
      </w:r>
      <w:r w:rsidR="00F45BB3">
        <w:rPr>
          <w:rFonts w:ascii="Calibri" w:hAnsi="Calibri"/>
          <w:color w:val="000000"/>
          <w:sz w:val="22"/>
          <w:szCs w:val="22"/>
          <w:lang w:val="en-US"/>
        </w:rPr>
        <w:t xml:space="preserve"> working status</w:t>
      </w:r>
      <w:r w:rsidR="006A771E" w:rsidRPr="00193BA6">
        <w:rPr>
          <w:rFonts w:ascii="Calibri" w:hAnsi="Calibri"/>
          <w:color w:val="000000"/>
          <w:sz w:val="22"/>
          <w:szCs w:val="22"/>
          <w:lang w:val="en-US"/>
        </w:rPr>
        <w:t xml:space="preserve"> </w:t>
      </w:r>
      <w:r w:rsidR="00137666" w:rsidRPr="00193BA6">
        <w:rPr>
          <w:rFonts w:ascii="Calibri" w:hAnsi="Calibri"/>
          <w:color w:val="000000"/>
          <w:sz w:val="22"/>
          <w:szCs w:val="22"/>
          <w:lang w:val="en-US"/>
        </w:rPr>
        <w:t xml:space="preserve">between </w:t>
      </w:r>
      <w:r w:rsidR="00041ED3">
        <w:rPr>
          <w:rFonts w:ascii="Calibri" w:hAnsi="Calibri"/>
          <w:color w:val="000000"/>
          <w:sz w:val="22"/>
          <w:szCs w:val="22"/>
          <w:lang w:val="en-US"/>
        </w:rPr>
        <w:t>ownership and council</w:t>
      </w:r>
      <w:r w:rsidR="00172B1B">
        <w:rPr>
          <w:rFonts w:ascii="Calibri" w:hAnsi="Calibri"/>
          <w:color w:val="000000"/>
          <w:sz w:val="22"/>
          <w:szCs w:val="22"/>
          <w:lang w:val="en-US"/>
        </w:rPr>
        <w:t xml:space="preserve"> renting</w:t>
      </w:r>
      <w:r w:rsidR="00137666">
        <w:rPr>
          <w:rFonts w:ascii="Calibri" w:hAnsi="Calibri"/>
          <w:color w:val="000000"/>
          <w:sz w:val="22"/>
          <w:szCs w:val="22"/>
          <w:lang w:val="en-US"/>
        </w:rPr>
        <w:t xml:space="preserve">. </w:t>
      </w:r>
      <w:r w:rsidR="00041ED3">
        <w:rPr>
          <w:rFonts w:ascii="Calibri" w:hAnsi="Calibri"/>
          <w:color w:val="000000"/>
          <w:sz w:val="22"/>
          <w:szCs w:val="22"/>
          <w:lang w:val="en-US"/>
        </w:rPr>
        <w:t>Even as it grew</w:t>
      </w:r>
      <w:r w:rsidR="00172B1B">
        <w:rPr>
          <w:rFonts w:ascii="Calibri" w:hAnsi="Calibri"/>
          <w:color w:val="000000"/>
          <w:sz w:val="22"/>
          <w:szCs w:val="22"/>
          <w:lang w:val="en-US"/>
        </w:rPr>
        <w:t xml:space="preserve">, </w:t>
      </w:r>
      <w:r w:rsidR="00F45BB3">
        <w:rPr>
          <w:rFonts w:ascii="Calibri" w:hAnsi="Calibri"/>
          <w:color w:val="000000"/>
          <w:sz w:val="22"/>
          <w:szCs w:val="22"/>
          <w:lang w:val="en-US"/>
        </w:rPr>
        <w:t>council</w:t>
      </w:r>
      <w:r w:rsidR="005F0FEC" w:rsidRPr="00193BA6">
        <w:rPr>
          <w:rFonts w:ascii="Calibri" w:hAnsi="Calibri"/>
          <w:color w:val="000000"/>
          <w:sz w:val="22"/>
          <w:szCs w:val="22"/>
          <w:lang w:val="en-US"/>
        </w:rPr>
        <w:t xml:space="preserve"> housing</w:t>
      </w:r>
      <w:r w:rsidR="00F45BB3">
        <w:rPr>
          <w:rFonts w:ascii="Calibri" w:hAnsi="Calibri"/>
          <w:color w:val="000000"/>
          <w:sz w:val="22"/>
          <w:szCs w:val="22"/>
          <w:lang w:val="en-US"/>
        </w:rPr>
        <w:t xml:space="preserve"> </w:t>
      </w:r>
      <w:r w:rsidR="005F0FEC" w:rsidRPr="00193BA6">
        <w:rPr>
          <w:rFonts w:ascii="Calibri" w:hAnsi="Calibri"/>
          <w:color w:val="000000"/>
          <w:sz w:val="22"/>
          <w:szCs w:val="22"/>
          <w:lang w:val="en-US"/>
        </w:rPr>
        <w:t xml:space="preserve">was </w:t>
      </w:r>
      <w:r w:rsidR="006A771E">
        <w:rPr>
          <w:rFonts w:ascii="Calibri" w:hAnsi="Calibri"/>
          <w:color w:val="000000"/>
          <w:sz w:val="22"/>
          <w:szCs w:val="22"/>
          <w:lang w:val="en-US"/>
        </w:rPr>
        <w:t>being</w:t>
      </w:r>
      <w:r w:rsidR="005F0FEC" w:rsidRPr="00193BA6">
        <w:rPr>
          <w:rFonts w:ascii="Calibri" w:hAnsi="Calibri"/>
          <w:color w:val="000000"/>
          <w:sz w:val="22"/>
          <w:szCs w:val="22"/>
          <w:lang w:val="en-US"/>
        </w:rPr>
        <w:t xml:space="preserve"> ‘</w:t>
      </w:r>
      <w:proofErr w:type="spellStart"/>
      <w:r w:rsidR="005F0FEC" w:rsidRPr="00193BA6">
        <w:rPr>
          <w:rFonts w:ascii="Calibri" w:hAnsi="Calibri"/>
          <w:color w:val="000000"/>
          <w:sz w:val="22"/>
          <w:szCs w:val="22"/>
          <w:lang w:val="en-US"/>
        </w:rPr>
        <w:t>resi</w:t>
      </w:r>
      <w:r w:rsidR="00137666">
        <w:rPr>
          <w:rFonts w:ascii="Calibri" w:hAnsi="Calibri"/>
          <w:color w:val="000000"/>
          <w:sz w:val="22"/>
          <w:szCs w:val="22"/>
          <w:lang w:val="en-US"/>
        </w:rPr>
        <w:t>dualised</w:t>
      </w:r>
      <w:proofErr w:type="spellEnd"/>
      <w:r w:rsidR="00137666">
        <w:rPr>
          <w:rFonts w:ascii="Calibri" w:hAnsi="Calibri"/>
          <w:color w:val="000000"/>
          <w:sz w:val="22"/>
          <w:szCs w:val="22"/>
          <w:lang w:val="en-US"/>
        </w:rPr>
        <w:t>’</w:t>
      </w:r>
      <w:r w:rsidR="00A1715E">
        <w:rPr>
          <w:rFonts w:ascii="Calibri" w:hAnsi="Calibri"/>
          <w:color w:val="000000"/>
          <w:sz w:val="22"/>
          <w:szCs w:val="22"/>
          <w:lang w:val="en-US"/>
        </w:rPr>
        <w:t xml:space="preserve">, left </w:t>
      </w:r>
      <w:r w:rsidR="004217DE">
        <w:rPr>
          <w:rFonts w:ascii="Calibri" w:hAnsi="Calibri"/>
          <w:color w:val="000000"/>
          <w:sz w:val="22"/>
          <w:szCs w:val="22"/>
          <w:lang w:val="en-US"/>
        </w:rPr>
        <w:t>b</w:t>
      </w:r>
      <w:r w:rsidR="009A73FD">
        <w:rPr>
          <w:rFonts w:ascii="Calibri" w:hAnsi="Calibri"/>
          <w:color w:val="000000"/>
          <w:sz w:val="22"/>
          <w:szCs w:val="22"/>
          <w:lang w:val="en-US"/>
        </w:rPr>
        <w:t xml:space="preserve">ehind </w:t>
      </w:r>
      <w:r w:rsidR="00A1715E">
        <w:rPr>
          <w:rFonts w:ascii="Calibri" w:hAnsi="Calibri"/>
          <w:color w:val="000000"/>
          <w:sz w:val="22"/>
          <w:szCs w:val="22"/>
          <w:lang w:val="en-US"/>
        </w:rPr>
        <w:t>a</w:t>
      </w:r>
      <w:r w:rsidR="006A771E">
        <w:rPr>
          <w:rFonts w:ascii="Calibri" w:hAnsi="Calibri"/>
          <w:color w:val="000000"/>
          <w:sz w:val="22"/>
          <w:szCs w:val="22"/>
          <w:lang w:val="en-US"/>
        </w:rPr>
        <w:t>s a</w:t>
      </w:r>
      <w:r w:rsidR="00C5520D">
        <w:rPr>
          <w:rFonts w:ascii="Calibri" w:hAnsi="Calibri"/>
          <w:color w:val="000000"/>
          <w:sz w:val="22"/>
          <w:szCs w:val="22"/>
          <w:lang w:val="en-US"/>
        </w:rPr>
        <w:t xml:space="preserve"> less </w:t>
      </w:r>
      <w:proofErr w:type="spellStart"/>
      <w:r w:rsidR="00A1715E">
        <w:rPr>
          <w:rFonts w:ascii="Calibri" w:hAnsi="Calibri"/>
          <w:color w:val="000000"/>
          <w:sz w:val="22"/>
          <w:szCs w:val="22"/>
          <w:lang w:val="en-US"/>
        </w:rPr>
        <w:t>fav</w:t>
      </w:r>
      <w:r w:rsidR="004217DE">
        <w:rPr>
          <w:rFonts w:ascii="Calibri" w:hAnsi="Calibri"/>
          <w:color w:val="000000"/>
          <w:sz w:val="22"/>
          <w:szCs w:val="22"/>
          <w:lang w:val="en-US"/>
        </w:rPr>
        <w:t>o</w:t>
      </w:r>
      <w:r w:rsidR="009A73FD">
        <w:rPr>
          <w:rFonts w:ascii="Calibri" w:hAnsi="Calibri"/>
          <w:color w:val="000000"/>
          <w:sz w:val="22"/>
          <w:szCs w:val="22"/>
          <w:lang w:val="en-US"/>
        </w:rPr>
        <w:t>ured</w:t>
      </w:r>
      <w:proofErr w:type="spellEnd"/>
      <w:r w:rsidR="00C5520D">
        <w:rPr>
          <w:rFonts w:ascii="Calibri" w:hAnsi="Calibri"/>
          <w:color w:val="000000"/>
          <w:sz w:val="22"/>
          <w:szCs w:val="22"/>
          <w:lang w:val="en-US"/>
        </w:rPr>
        <w:t>,</w:t>
      </w:r>
      <w:r w:rsidR="009A73FD">
        <w:rPr>
          <w:rFonts w:ascii="Calibri" w:hAnsi="Calibri"/>
          <w:color w:val="000000"/>
          <w:sz w:val="22"/>
          <w:szCs w:val="22"/>
          <w:lang w:val="en-US"/>
        </w:rPr>
        <w:t xml:space="preserve"> </w:t>
      </w:r>
      <w:r w:rsidR="00F45BB3">
        <w:rPr>
          <w:rFonts w:ascii="Calibri" w:hAnsi="Calibri"/>
          <w:color w:val="000000"/>
          <w:sz w:val="22"/>
          <w:szCs w:val="22"/>
          <w:lang w:val="en-US"/>
        </w:rPr>
        <w:t>if large</w:t>
      </w:r>
      <w:r w:rsidR="00C5520D">
        <w:rPr>
          <w:rFonts w:ascii="Calibri" w:hAnsi="Calibri"/>
          <w:color w:val="000000"/>
          <w:sz w:val="22"/>
          <w:szCs w:val="22"/>
          <w:lang w:val="en-US"/>
        </w:rPr>
        <w:t>,</w:t>
      </w:r>
      <w:r w:rsidR="00F45BB3">
        <w:rPr>
          <w:rFonts w:ascii="Calibri" w:hAnsi="Calibri"/>
          <w:color w:val="000000"/>
          <w:sz w:val="22"/>
          <w:szCs w:val="22"/>
          <w:lang w:val="en-US"/>
        </w:rPr>
        <w:t xml:space="preserve"> </w:t>
      </w:r>
      <w:r w:rsidR="009A73FD">
        <w:rPr>
          <w:rFonts w:ascii="Calibri" w:hAnsi="Calibri"/>
          <w:color w:val="000000"/>
          <w:sz w:val="22"/>
          <w:szCs w:val="22"/>
          <w:lang w:val="en-US"/>
        </w:rPr>
        <w:t>minority</w:t>
      </w:r>
      <w:r w:rsidR="00F45BB3">
        <w:rPr>
          <w:rFonts w:ascii="Calibri" w:hAnsi="Calibri"/>
          <w:color w:val="000000"/>
          <w:sz w:val="22"/>
          <w:szCs w:val="22"/>
          <w:lang w:val="en-US"/>
        </w:rPr>
        <w:t xml:space="preserve"> tenure</w:t>
      </w:r>
      <w:r w:rsidR="006A771E">
        <w:rPr>
          <w:rFonts w:ascii="Calibri" w:hAnsi="Calibri"/>
          <w:color w:val="000000"/>
          <w:sz w:val="22"/>
          <w:szCs w:val="22"/>
          <w:lang w:val="en-US"/>
        </w:rPr>
        <w:t xml:space="preserve">. This was </w:t>
      </w:r>
      <w:r w:rsidR="00137666">
        <w:rPr>
          <w:rFonts w:ascii="Calibri" w:hAnsi="Calibri"/>
          <w:color w:val="000000"/>
          <w:sz w:val="22"/>
          <w:szCs w:val="22"/>
          <w:lang w:val="en-US"/>
        </w:rPr>
        <w:t xml:space="preserve">a potential problem </w:t>
      </w:r>
      <w:r w:rsidR="005F0FEC">
        <w:rPr>
          <w:rFonts w:ascii="Calibri" w:hAnsi="Calibri"/>
          <w:color w:val="000000"/>
          <w:sz w:val="22"/>
          <w:szCs w:val="22"/>
          <w:lang w:val="en-US"/>
        </w:rPr>
        <w:t>for res</w:t>
      </w:r>
      <w:r w:rsidR="00137666">
        <w:rPr>
          <w:rFonts w:ascii="Calibri" w:hAnsi="Calibri"/>
          <w:color w:val="000000"/>
          <w:sz w:val="22"/>
          <w:szCs w:val="22"/>
          <w:lang w:val="en-US"/>
        </w:rPr>
        <w:t>id</w:t>
      </w:r>
      <w:r w:rsidR="005F0FEC">
        <w:rPr>
          <w:rFonts w:ascii="Calibri" w:hAnsi="Calibri"/>
          <w:color w:val="000000"/>
          <w:sz w:val="22"/>
          <w:szCs w:val="22"/>
          <w:lang w:val="en-US"/>
        </w:rPr>
        <w:t>ents thems</w:t>
      </w:r>
      <w:r w:rsidR="00137666">
        <w:rPr>
          <w:rFonts w:ascii="Calibri" w:hAnsi="Calibri"/>
          <w:color w:val="000000"/>
          <w:sz w:val="22"/>
          <w:szCs w:val="22"/>
          <w:lang w:val="en-US"/>
        </w:rPr>
        <w:t>el</w:t>
      </w:r>
      <w:r w:rsidR="005F0FEC">
        <w:rPr>
          <w:rFonts w:ascii="Calibri" w:hAnsi="Calibri"/>
          <w:color w:val="000000"/>
          <w:sz w:val="22"/>
          <w:szCs w:val="22"/>
          <w:lang w:val="en-US"/>
        </w:rPr>
        <w:t>ves, hou</w:t>
      </w:r>
      <w:r w:rsidR="00137666">
        <w:rPr>
          <w:rFonts w:ascii="Calibri" w:hAnsi="Calibri"/>
          <w:color w:val="000000"/>
          <w:sz w:val="22"/>
          <w:szCs w:val="22"/>
          <w:lang w:val="en-US"/>
        </w:rPr>
        <w:t>sing</w:t>
      </w:r>
      <w:r w:rsidR="005F0FEC">
        <w:rPr>
          <w:rFonts w:ascii="Calibri" w:hAnsi="Calibri"/>
          <w:color w:val="000000"/>
          <w:sz w:val="22"/>
          <w:szCs w:val="22"/>
          <w:lang w:val="en-US"/>
        </w:rPr>
        <w:t xml:space="preserve"> </w:t>
      </w:r>
      <w:r w:rsidR="00A1715E">
        <w:rPr>
          <w:rFonts w:ascii="Calibri" w:hAnsi="Calibri"/>
          <w:color w:val="000000"/>
          <w:sz w:val="22"/>
          <w:szCs w:val="22"/>
          <w:lang w:val="en-US"/>
        </w:rPr>
        <w:t>managers and society as a whole</w:t>
      </w:r>
      <w:r w:rsidR="005F0FEC">
        <w:rPr>
          <w:rFonts w:ascii="Calibri" w:hAnsi="Calibri"/>
          <w:color w:val="000000"/>
          <w:sz w:val="22"/>
          <w:szCs w:val="22"/>
          <w:lang w:val="en-US"/>
        </w:rPr>
        <w:t xml:space="preserve">. </w:t>
      </w:r>
    </w:p>
    <w:p w:rsidR="006A771E" w:rsidRDefault="006A771E" w:rsidP="00193BA6">
      <w:pPr>
        <w:spacing w:before="0" w:after="0"/>
        <w:rPr>
          <w:rFonts w:ascii="Calibri" w:hAnsi="Calibri"/>
          <w:color w:val="000000"/>
          <w:sz w:val="22"/>
          <w:szCs w:val="22"/>
          <w:lang w:val="en-US"/>
        </w:rPr>
      </w:pPr>
    </w:p>
    <w:p w:rsidR="004217DE" w:rsidRPr="00193BA6" w:rsidRDefault="00041ED3" w:rsidP="006A771E">
      <w:pPr>
        <w:spacing w:before="0" w:after="0"/>
        <w:rPr>
          <w:rFonts w:asciiTheme="minorHAnsi" w:eastAsiaTheme="minorHAnsi" w:hAnsiTheme="minorHAnsi" w:cstheme="minorBidi"/>
          <w:sz w:val="22"/>
          <w:szCs w:val="22"/>
          <w:lang w:val="en-US"/>
        </w:rPr>
      </w:pPr>
      <w:r>
        <w:rPr>
          <w:rFonts w:ascii="Calibri" w:hAnsi="Calibri"/>
          <w:color w:val="000000"/>
          <w:sz w:val="22"/>
          <w:szCs w:val="22"/>
          <w:lang w:val="en-US"/>
        </w:rPr>
        <w:t>In the mid 1970s, counci</w:t>
      </w:r>
      <w:r w:rsidR="00F45BB3">
        <w:rPr>
          <w:rFonts w:ascii="Calibri" w:hAnsi="Calibri"/>
          <w:color w:val="000000"/>
          <w:sz w:val="22"/>
          <w:szCs w:val="22"/>
          <w:lang w:val="en-US"/>
        </w:rPr>
        <w:t xml:space="preserve">l tenants’ median incomes were </w:t>
      </w:r>
      <w:r>
        <w:rPr>
          <w:rFonts w:ascii="Calibri" w:hAnsi="Calibri"/>
          <w:color w:val="000000"/>
          <w:sz w:val="22"/>
          <w:szCs w:val="22"/>
          <w:lang w:val="en-US"/>
        </w:rPr>
        <w:t>7</w:t>
      </w:r>
      <w:r w:rsidR="00007D2E">
        <w:rPr>
          <w:rFonts w:ascii="Calibri" w:hAnsi="Calibri"/>
          <w:color w:val="000000"/>
          <w:sz w:val="22"/>
          <w:szCs w:val="22"/>
          <w:lang w:val="en-US"/>
        </w:rPr>
        <w:t>3%</w:t>
      </w:r>
      <w:r>
        <w:rPr>
          <w:rFonts w:ascii="Calibri" w:hAnsi="Calibri"/>
          <w:color w:val="000000"/>
          <w:sz w:val="22"/>
          <w:szCs w:val="22"/>
          <w:lang w:val="en-US"/>
        </w:rPr>
        <w:t xml:space="preserve"> of owners’ median incomes, but b</w:t>
      </w:r>
      <w:r w:rsidR="00137666">
        <w:rPr>
          <w:rFonts w:ascii="Calibri" w:hAnsi="Calibri"/>
          <w:color w:val="000000"/>
          <w:sz w:val="22"/>
          <w:szCs w:val="22"/>
          <w:lang w:val="en-US"/>
        </w:rPr>
        <w:t>y</w:t>
      </w:r>
      <w:r w:rsidR="00137666" w:rsidRPr="00193BA6">
        <w:rPr>
          <w:rFonts w:ascii="Calibri" w:hAnsi="Calibri"/>
          <w:color w:val="000000"/>
          <w:sz w:val="22"/>
          <w:szCs w:val="22"/>
          <w:lang w:val="en-US"/>
        </w:rPr>
        <w:t xml:space="preserve"> 1983, </w:t>
      </w:r>
      <w:r>
        <w:rPr>
          <w:rFonts w:ascii="Calibri" w:hAnsi="Calibri"/>
          <w:color w:val="000000"/>
          <w:sz w:val="22"/>
          <w:szCs w:val="22"/>
          <w:lang w:val="en-US"/>
        </w:rPr>
        <w:t xml:space="preserve">they had fallen drastically to </w:t>
      </w:r>
      <w:r w:rsidR="00F45BB3">
        <w:rPr>
          <w:rFonts w:ascii="Calibri" w:hAnsi="Calibri"/>
          <w:color w:val="000000"/>
          <w:sz w:val="22"/>
          <w:szCs w:val="22"/>
          <w:lang w:val="en-US"/>
        </w:rPr>
        <w:t xml:space="preserve">just </w:t>
      </w:r>
      <w:r>
        <w:rPr>
          <w:rFonts w:ascii="Calibri" w:hAnsi="Calibri"/>
          <w:color w:val="000000"/>
          <w:sz w:val="22"/>
          <w:szCs w:val="22"/>
          <w:lang w:val="en-US"/>
        </w:rPr>
        <w:t>45%</w:t>
      </w:r>
      <w:r w:rsidRPr="00193BA6">
        <w:rPr>
          <w:rFonts w:ascii="Calibri" w:hAnsi="Calibri"/>
          <w:color w:val="000000"/>
          <w:sz w:val="22"/>
          <w:szCs w:val="22"/>
          <w:lang w:val="en-US"/>
        </w:rPr>
        <w:t>.</w:t>
      </w:r>
      <w:r w:rsidR="009A19DE">
        <w:rPr>
          <w:rFonts w:ascii="Calibri" w:hAnsi="Calibri"/>
          <w:color w:val="000000"/>
          <w:sz w:val="22"/>
          <w:szCs w:val="22"/>
          <w:lang w:val="en-US"/>
        </w:rPr>
        <w:t xml:space="preserve"> </w:t>
      </w:r>
      <w:r w:rsidR="00007D2E">
        <w:rPr>
          <w:rFonts w:ascii="Calibri" w:hAnsi="Calibri"/>
          <w:color w:val="000000"/>
          <w:sz w:val="22"/>
          <w:szCs w:val="22"/>
          <w:lang w:val="en-US"/>
        </w:rPr>
        <w:t>By 1999/2000, the figure was 33% (Figure 2). In</w:t>
      </w:r>
      <w:r w:rsidR="00560276">
        <w:rPr>
          <w:rFonts w:asciiTheme="minorHAnsi" w:eastAsiaTheme="minorHAnsi" w:hAnsiTheme="minorHAnsi" w:cstheme="minorBidi"/>
          <w:sz w:val="22"/>
          <w:szCs w:val="22"/>
          <w:lang w:val="en-US"/>
        </w:rPr>
        <w:t xml:space="preserve"> </w:t>
      </w:r>
      <w:r w:rsidR="004217DE" w:rsidRPr="00193BA6">
        <w:rPr>
          <w:rFonts w:asciiTheme="minorHAnsi" w:eastAsiaTheme="minorHAnsi" w:hAnsiTheme="minorHAnsi" w:cstheme="minorBidi"/>
          <w:sz w:val="22"/>
          <w:szCs w:val="22"/>
          <w:lang w:val="en-US"/>
        </w:rPr>
        <w:t>2000/01</w:t>
      </w:r>
      <w:r w:rsidR="004217DE">
        <w:rPr>
          <w:rFonts w:asciiTheme="minorHAnsi" w:eastAsiaTheme="minorHAnsi" w:hAnsiTheme="minorHAnsi" w:cstheme="minorBidi"/>
          <w:sz w:val="22"/>
          <w:szCs w:val="22"/>
          <w:lang w:val="en-US"/>
        </w:rPr>
        <w:t>, fully</w:t>
      </w:r>
      <w:r w:rsidR="004217DE" w:rsidRPr="00193BA6">
        <w:rPr>
          <w:rFonts w:asciiTheme="minorHAnsi" w:eastAsiaTheme="minorHAnsi" w:hAnsiTheme="minorHAnsi" w:cstheme="minorBidi"/>
          <w:sz w:val="22"/>
          <w:szCs w:val="22"/>
          <w:lang w:val="en-US"/>
        </w:rPr>
        <w:t xml:space="preserve"> 54% of those in social rented homes in Great Britain were </w:t>
      </w:r>
      <w:r w:rsidR="004217DE">
        <w:rPr>
          <w:rFonts w:asciiTheme="minorHAnsi" w:eastAsiaTheme="minorHAnsi" w:hAnsiTheme="minorHAnsi" w:cstheme="minorBidi"/>
          <w:sz w:val="22"/>
          <w:szCs w:val="22"/>
          <w:lang w:val="en-US"/>
        </w:rPr>
        <w:t>on poverty incomes (</w:t>
      </w:r>
      <w:r w:rsidR="004217DE" w:rsidRPr="00193BA6">
        <w:rPr>
          <w:rFonts w:asciiTheme="minorHAnsi" w:eastAsiaTheme="minorHAnsi" w:hAnsiTheme="minorHAnsi" w:cstheme="minorBidi"/>
          <w:sz w:val="22"/>
          <w:szCs w:val="22"/>
          <w:lang w:val="en-US"/>
        </w:rPr>
        <w:t xml:space="preserve">below 60% of median </w:t>
      </w:r>
      <w:proofErr w:type="spellStart"/>
      <w:r w:rsidR="004217DE" w:rsidRPr="00193BA6">
        <w:rPr>
          <w:rFonts w:asciiTheme="minorHAnsi" w:eastAsiaTheme="minorHAnsi" w:hAnsiTheme="minorHAnsi" w:cstheme="minorBidi"/>
          <w:sz w:val="22"/>
          <w:szCs w:val="22"/>
          <w:lang w:val="en-US"/>
        </w:rPr>
        <w:t>equivalised</w:t>
      </w:r>
      <w:proofErr w:type="spellEnd"/>
      <w:r w:rsidR="004217DE" w:rsidRPr="00193BA6">
        <w:rPr>
          <w:rFonts w:asciiTheme="minorHAnsi" w:eastAsiaTheme="minorHAnsi" w:hAnsiTheme="minorHAnsi" w:cstheme="minorBidi"/>
          <w:sz w:val="22"/>
          <w:szCs w:val="22"/>
          <w:lang w:val="en-US"/>
        </w:rPr>
        <w:t xml:space="preserve"> household incom</w:t>
      </w:r>
      <w:r w:rsidR="004217DE">
        <w:rPr>
          <w:rFonts w:asciiTheme="minorHAnsi" w:eastAsiaTheme="minorHAnsi" w:hAnsiTheme="minorHAnsi" w:cstheme="minorBidi"/>
          <w:sz w:val="22"/>
          <w:szCs w:val="22"/>
          <w:lang w:val="en-US"/>
        </w:rPr>
        <w:t>e after housing costs)</w:t>
      </w:r>
      <w:r w:rsidR="004217DE" w:rsidRPr="00193BA6">
        <w:rPr>
          <w:rFonts w:asciiTheme="minorHAnsi" w:eastAsiaTheme="minorHAnsi" w:hAnsiTheme="minorHAnsi" w:cstheme="minorBidi"/>
          <w:sz w:val="22"/>
          <w:szCs w:val="22"/>
          <w:lang w:val="en-US"/>
        </w:rPr>
        <w:t>, compared to 13% of home owners</w:t>
      </w:r>
      <w:r w:rsidR="004217DE" w:rsidRPr="00193BA6">
        <w:rPr>
          <w:rFonts w:asciiTheme="minorHAnsi" w:eastAsiaTheme="minorHAnsi" w:hAnsiTheme="minorHAnsi" w:cstheme="minorBidi"/>
          <w:sz w:val="22"/>
          <w:szCs w:val="22"/>
          <w:vertAlign w:val="superscript"/>
          <w:lang w:val="en-US"/>
        </w:rPr>
        <w:endnoteReference w:id="4"/>
      </w:r>
      <w:r w:rsidR="00007D2E">
        <w:rPr>
          <w:rFonts w:asciiTheme="minorHAnsi" w:eastAsiaTheme="minorHAnsi" w:hAnsiTheme="minorHAnsi" w:cstheme="minorBidi"/>
          <w:sz w:val="22"/>
          <w:szCs w:val="22"/>
          <w:lang w:val="en-US"/>
        </w:rPr>
        <w:t xml:space="preserve">. </w:t>
      </w:r>
    </w:p>
    <w:p w:rsidR="001F6FD2" w:rsidRDefault="001F6FD2" w:rsidP="00193BA6">
      <w:pPr>
        <w:spacing w:before="0" w:after="200" w:line="276" w:lineRule="auto"/>
        <w:rPr>
          <w:rFonts w:asciiTheme="minorHAnsi" w:eastAsiaTheme="minorHAnsi" w:hAnsiTheme="minorHAnsi" w:cstheme="minorBidi"/>
          <w:sz w:val="22"/>
          <w:szCs w:val="22"/>
          <w:lang w:val="en-US"/>
        </w:rPr>
      </w:pPr>
    </w:p>
    <w:p w:rsidR="00193BA6" w:rsidRPr="00193BA6" w:rsidRDefault="00193BA6" w:rsidP="00193BA6">
      <w:pPr>
        <w:spacing w:before="0" w:after="200" w:line="276" w:lineRule="auto"/>
        <w:rPr>
          <w:rFonts w:asciiTheme="minorHAnsi" w:eastAsiaTheme="minorHAnsi" w:hAnsiTheme="minorHAnsi" w:cstheme="minorBidi"/>
          <w:sz w:val="22"/>
          <w:szCs w:val="22"/>
          <w:lang w:val="en-US"/>
        </w:rPr>
      </w:pPr>
      <w:r w:rsidRPr="00193BA6">
        <w:rPr>
          <w:rFonts w:asciiTheme="minorHAnsi" w:eastAsiaTheme="minorHAnsi" w:hAnsiTheme="minorHAnsi" w:cstheme="minorBidi"/>
          <w:sz w:val="22"/>
          <w:szCs w:val="22"/>
          <w:lang w:val="en-US"/>
        </w:rPr>
        <w:t>Figure</w:t>
      </w:r>
      <w:r w:rsidR="006A771E">
        <w:rPr>
          <w:rFonts w:asciiTheme="minorHAnsi" w:eastAsiaTheme="minorHAnsi" w:hAnsiTheme="minorHAnsi" w:cstheme="minorBidi"/>
          <w:sz w:val="22"/>
          <w:szCs w:val="22"/>
          <w:lang w:val="en-US"/>
        </w:rPr>
        <w:t xml:space="preserve"> 2</w:t>
      </w:r>
      <w:r w:rsidRPr="00193BA6">
        <w:rPr>
          <w:rFonts w:asciiTheme="minorHAnsi" w:eastAsiaTheme="minorHAnsi" w:hAnsiTheme="minorHAnsi" w:cstheme="minorBidi"/>
          <w:sz w:val="22"/>
          <w:szCs w:val="22"/>
          <w:lang w:val="en-US"/>
        </w:rPr>
        <w:t>: Median income of renting households as a percentage of median income of owner</w:t>
      </w:r>
      <w:r w:rsidR="00F44CE7">
        <w:rPr>
          <w:rFonts w:asciiTheme="minorHAnsi" w:eastAsiaTheme="minorHAnsi" w:hAnsiTheme="minorHAnsi" w:cstheme="minorBidi"/>
          <w:sz w:val="22"/>
          <w:szCs w:val="22"/>
          <w:lang w:val="en-US"/>
        </w:rPr>
        <w:t>s (</w:t>
      </w:r>
      <w:r w:rsidR="00AD6725">
        <w:rPr>
          <w:rFonts w:asciiTheme="minorHAnsi" w:eastAsiaTheme="minorHAnsi" w:hAnsiTheme="minorHAnsi" w:cstheme="minorBidi"/>
          <w:sz w:val="22"/>
          <w:szCs w:val="22"/>
          <w:lang w:val="en-US"/>
        </w:rPr>
        <w:t xml:space="preserve">gross income </w:t>
      </w:r>
      <w:r w:rsidR="00F44CE7">
        <w:rPr>
          <w:rFonts w:asciiTheme="minorHAnsi" w:eastAsiaTheme="minorHAnsi" w:hAnsiTheme="minorHAnsi" w:cstheme="minorBidi"/>
          <w:sz w:val="22"/>
          <w:szCs w:val="22"/>
          <w:lang w:val="en-US"/>
        </w:rPr>
        <w:t>before housing costs, not taking account of household size</w:t>
      </w:r>
      <w:r w:rsidRPr="00193BA6">
        <w:rPr>
          <w:rFonts w:asciiTheme="minorHAnsi" w:eastAsiaTheme="minorHAnsi" w:hAnsiTheme="minorHAnsi" w:cstheme="minorBidi"/>
          <w:sz w:val="22"/>
          <w:szCs w:val="22"/>
          <w:lang w:val="en-US"/>
        </w:rPr>
        <w:t>), 1953/54-2015/16</w:t>
      </w:r>
    </w:p>
    <w:p w:rsidR="00193BA6" w:rsidRPr="00193BA6" w:rsidRDefault="00193BA6" w:rsidP="00193BA6">
      <w:pPr>
        <w:spacing w:before="0" w:after="200" w:line="276" w:lineRule="auto"/>
        <w:rPr>
          <w:rFonts w:asciiTheme="minorHAnsi" w:eastAsiaTheme="minorHAnsi" w:hAnsiTheme="minorHAnsi" w:cstheme="minorBidi"/>
          <w:sz w:val="22"/>
          <w:szCs w:val="22"/>
          <w:lang w:val="en-US"/>
        </w:rPr>
      </w:pPr>
      <w:r w:rsidRPr="00193BA6">
        <w:rPr>
          <w:rFonts w:asciiTheme="minorHAnsi" w:eastAsiaTheme="minorHAnsi" w:hAnsiTheme="minorHAnsi" w:cstheme="minorBidi"/>
          <w:noProof/>
          <w:sz w:val="22"/>
          <w:szCs w:val="22"/>
          <w:lang w:val="en-US"/>
        </w:rPr>
        <w:t xml:space="preserve"> </w:t>
      </w:r>
      <w:r w:rsidRPr="00193BA6">
        <w:rPr>
          <w:rFonts w:asciiTheme="minorHAnsi" w:eastAsiaTheme="minorHAnsi" w:hAnsiTheme="minorHAnsi" w:cstheme="minorBidi"/>
          <w:noProof/>
          <w:sz w:val="22"/>
          <w:szCs w:val="22"/>
          <w:lang w:val="en-US"/>
        </w:rPr>
        <w:drawing>
          <wp:inline distT="0" distB="0" distL="0" distR="0" wp14:anchorId="1925EF1D" wp14:editId="5F52F0FE">
            <wp:extent cx="4696358" cy="2553005"/>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6FA" w:rsidRDefault="00193BA6" w:rsidP="00193BA6">
      <w:pPr>
        <w:spacing w:before="0" w:after="200" w:line="276" w:lineRule="auto"/>
        <w:rPr>
          <w:rFonts w:asciiTheme="minorHAnsi" w:eastAsiaTheme="minorHAnsi" w:hAnsiTheme="minorHAnsi" w:cstheme="minorBidi"/>
          <w:sz w:val="22"/>
          <w:szCs w:val="22"/>
          <w:lang w:val="en-US"/>
        </w:rPr>
      </w:pPr>
      <w:r w:rsidRPr="00193BA6">
        <w:rPr>
          <w:rFonts w:asciiTheme="minorHAnsi" w:eastAsiaTheme="minorHAnsi" w:hAnsiTheme="minorHAnsi" w:cstheme="minorBidi"/>
          <w:sz w:val="22"/>
          <w:szCs w:val="22"/>
          <w:lang w:val="en-US"/>
        </w:rPr>
        <w:t>Sources: Bentham 1986</w:t>
      </w:r>
      <w:r w:rsidR="00C5520D">
        <w:rPr>
          <w:rFonts w:asciiTheme="minorHAnsi" w:eastAsiaTheme="minorHAnsi" w:hAnsiTheme="minorHAnsi" w:cstheme="minorBidi"/>
          <w:sz w:val="22"/>
          <w:szCs w:val="22"/>
          <w:lang w:val="en-US"/>
        </w:rPr>
        <w:t>;</w:t>
      </w:r>
      <w:r w:rsidRPr="00193BA6">
        <w:rPr>
          <w:rFonts w:asciiTheme="minorHAnsi" w:eastAsiaTheme="minorHAnsi" w:hAnsiTheme="minorHAnsi" w:cstheme="minorBidi"/>
          <w:sz w:val="22"/>
          <w:szCs w:val="22"/>
          <w:lang w:val="en-US"/>
        </w:rPr>
        <w:t xml:space="preserve"> Table S114 E</w:t>
      </w:r>
      <w:r w:rsidR="00BD55F7">
        <w:rPr>
          <w:rFonts w:asciiTheme="minorHAnsi" w:eastAsiaTheme="minorHAnsi" w:hAnsiTheme="minorHAnsi" w:cstheme="minorBidi"/>
          <w:sz w:val="22"/>
          <w:szCs w:val="22"/>
          <w:lang w:val="en-US"/>
        </w:rPr>
        <w:t>nglish Housing Survey</w:t>
      </w:r>
      <w:r w:rsidRPr="00193BA6">
        <w:rPr>
          <w:rFonts w:asciiTheme="minorHAnsi" w:eastAsiaTheme="minorHAnsi" w:hAnsiTheme="minorHAnsi" w:cstheme="minorBidi"/>
          <w:sz w:val="22"/>
          <w:szCs w:val="22"/>
          <w:lang w:val="en-US"/>
        </w:rPr>
        <w:t xml:space="preserve"> 1999/00-2015/16</w:t>
      </w:r>
    </w:p>
    <w:p w:rsidR="00007D2E" w:rsidRDefault="00C5520D" w:rsidP="00193BA6">
      <w:pPr>
        <w:spacing w:before="0" w:after="200" w:line="276" w:lineRule="auto"/>
        <w:rPr>
          <w:rFonts w:asciiTheme="minorHAnsi" w:eastAsiaTheme="minorHAnsi" w:hAnsiTheme="minorHAnsi" w:cstheme="minorBidi"/>
          <w:i/>
          <w:sz w:val="22"/>
          <w:szCs w:val="22"/>
          <w:lang w:val="en-US"/>
        </w:rPr>
      </w:pPr>
      <w:r>
        <w:rPr>
          <w:rFonts w:asciiTheme="minorHAnsi" w:eastAsiaTheme="minorHAnsi" w:hAnsiTheme="minorHAnsi" w:cstheme="minorBidi"/>
          <w:sz w:val="22"/>
          <w:szCs w:val="22"/>
          <w:lang w:val="en-US"/>
        </w:rPr>
        <w:t xml:space="preserve">There was also </w:t>
      </w:r>
      <w:proofErr w:type="spellStart"/>
      <w:r w:rsidR="00B95734">
        <w:rPr>
          <w:rFonts w:asciiTheme="minorHAnsi" w:eastAsiaTheme="minorHAnsi" w:hAnsiTheme="minorHAnsi" w:cstheme="minorBidi"/>
          <w:sz w:val="22"/>
          <w:szCs w:val="22"/>
          <w:lang w:val="en-US"/>
        </w:rPr>
        <w:t>polaris</w:t>
      </w:r>
      <w:r w:rsidR="00281DED">
        <w:rPr>
          <w:rFonts w:asciiTheme="minorHAnsi" w:eastAsiaTheme="minorHAnsi" w:hAnsiTheme="minorHAnsi" w:cstheme="minorBidi"/>
          <w:sz w:val="22"/>
          <w:szCs w:val="22"/>
          <w:lang w:val="en-US"/>
        </w:rPr>
        <w:t>ation</w:t>
      </w:r>
      <w:proofErr w:type="spellEnd"/>
      <w:r w:rsidR="00281DED">
        <w:rPr>
          <w:rFonts w:asciiTheme="minorHAnsi" w:eastAsiaTheme="minorHAnsi" w:hAnsiTheme="minorHAnsi" w:cstheme="minorBidi"/>
          <w:sz w:val="22"/>
          <w:szCs w:val="22"/>
          <w:lang w:val="en-US"/>
        </w:rPr>
        <w:t xml:space="preserve"> in employment status.</w:t>
      </w:r>
      <w:r w:rsidR="00172B1B">
        <w:rPr>
          <w:rFonts w:asciiTheme="minorHAnsi" w:eastAsiaTheme="minorHAnsi" w:hAnsiTheme="minorHAnsi" w:cstheme="minorBidi"/>
          <w:sz w:val="22"/>
          <w:szCs w:val="22"/>
          <w:lang w:val="en-US"/>
        </w:rPr>
        <w:t xml:space="preserve"> In 1984 </w:t>
      </w:r>
      <w:r w:rsidR="00AD6725">
        <w:rPr>
          <w:rFonts w:asciiTheme="minorHAnsi" w:eastAsiaTheme="minorHAnsi" w:hAnsiTheme="minorHAnsi" w:cstheme="minorBidi"/>
          <w:sz w:val="22"/>
          <w:szCs w:val="22"/>
          <w:lang w:val="en-US"/>
        </w:rPr>
        <w:t xml:space="preserve">the </w:t>
      </w:r>
      <w:r w:rsidR="00DC4D40">
        <w:rPr>
          <w:rFonts w:asciiTheme="minorHAnsi" w:eastAsiaTheme="minorHAnsi" w:hAnsiTheme="minorHAnsi" w:cstheme="minorBidi"/>
          <w:sz w:val="22"/>
          <w:szCs w:val="22"/>
          <w:lang w:val="en-US"/>
        </w:rPr>
        <w:t>employment rate</w:t>
      </w:r>
      <w:r w:rsidR="00AD6725">
        <w:rPr>
          <w:rFonts w:asciiTheme="minorHAnsi" w:eastAsiaTheme="minorHAnsi" w:hAnsiTheme="minorHAnsi" w:cstheme="minorBidi"/>
          <w:sz w:val="22"/>
          <w:szCs w:val="22"/>
          <w:lang w:val="en-US"/>
        </w:rPr>
        <w:t xml:space="preserve"> for</w:t>
      </w:r>
      <w:r w:rsidR="00DC4D40">
        <w:rPr>
          <w:rFonts w:asciiTheme="minorHAnsi" w:eastAsiaTheme="minorHAnsi" w:hAnsiTheme="minorHAnsi" w:cstheme="minorBidi"/>
          <w:sz w:val="22"/>
          <w:szCs w:val="22"/>
          <w:lang w:val="en-US"/>
        </w:rPr>
        <w:t xml:space="preserve"> </w:t>
      </w:r>
      <w:r w:rsidR="00007D2E">
        <w:rPr>
          <w:rFonts w:asciiTheme="minorHAnsi" w:eastAsiaTheme="minorHAnsi" w:hAnsiTheme="minorHAnsi" w:cstheme="minorBidi"/>
          <w:sz w:val="22"/>
          <w:szCs w:val="22"/>
          <w:lang w:val="en-US"/>
        </w:rPr>
        <w:t>household reference persons (HRPs</w:t>
      </w:r>
      <w:r w:rsidR="00B95734">
        <w:rPr>
          <w:rFonts w:asciiTheme="minorHAnsi" w:eastAsiaTheme="minorHAnsi" w:hAnsiTheme="minorHAnsi" w:cstheme="minorBidi"/>
          <w:sz w:val="22"/>
          <w:szCs w:val="22"/>
          <w:lang w:val="en-US"/>
        </w:rPr>
        <w:t>, similar to heads of households</w:t>
      </w:r>
      <w:r w:rsidR="00007D2E">
        <w:rPr>
          <w:rFonts w:asciiTheme="minorHAnsi" w:eastAsiaTheme="minorHAnsi" w:hAnsiTheme="minorHAnsi" w:cstheme="minorBidi"/>
          <w:sz w:val="22"/>
          <w:szCs w:val="22"/>
          <w:lang w:val="en-US"/>
        </w:rPr>
        <w:t>) in social renting</w:t>
      </w:r>
      <w:r w:rsidR="00DC4D40">
        <w:rPr>
          <w:rFonts w:asciiTheme="minorHAnsi" w:eastAsiaTheme="minorHAnsi" w:hAnsiTheme="minorHAnsi" w:cstheme="minorBidi"/>
          <w:sz w:val="22"/>
          <w:szCs w:val="22"/>
          <w:lang w:val="en-US"/>
        </w:rPr>
        <w:t xml:space="preserve"> w</w:t>
      </w:r>
      <w:r>
        <w:rPr>
          <w:rFonts w:asciiTheme="minorHAnsi" w:eastAsiaTheme="minorHAnsi" w:hAnsiTheme="minorHAnsi" w:cstheme="minorBidi"/>
          <w:sz w:val="22"/>
          <w:szCs w:val="22"/>
          <w:lang w:val="en-US"/>
        </w:rPr>
        <w:t>as</w:t>
      </w:r>
      <w:r w:rsidR="00DC4D40">
        <w:rPr>
          <w:rFonts w:asciiTheme="minorHAnsi" w:eastAsiaTheme="minorHAnsi" w:hAnsiTheme="minorHAnsi" w:cstheme="minorBidi"/>
          <w:sz w:val="22"/>
          <w:szCs w:val="22"/>
          <w:lang w:val="en-US"/>
        </w:rPr>
        <w:t xml:space="preserve"> 66% of the overall average</w:t>
      </w:r>
      <w:r>
        <w:rPr>
          <w:rFonts w:asciiTheme="minorHAnsi" w:eastAsiaTheme="minorHAnsi" w:hAnsiTheme="minorHAnsi" w:cstheme="minorBidi"/>
          <w:sz w:val="22"/>
          <w:szCs w:val="22"/>
          <w:lang w:val="en-US"/>
        </w:rPr>
        <w:t>. T</w:t>
      </w:r>
      <w:r w:rsidR="00AD6725">
        <w:rPr>
          <w:rFonts w:asciiTheme="minorHAnsi" w:eastAsiaTheme="minorHAnsi" w:hAnsiTheme="minorHAnsi" w:cstheme="minorBidi"/>
          <w:sz w:val="22"/>
          <w:szCs w:val="22"/>
          <w:lang w:val="en-US"/>
        </w:rPr>
        <w:t xml:space="preserve">he </w:t>
      </w:r>
      <w:r w:rsidR="00DC4D40">
        <w:rPr>
          <w:rFonts w:asciiTheme="minorHAnsi" w:eastAsiaTheme="minorHAnsi" w:hAnsiTheme="minorHAnsi" w:cstheme="minorBidi"/>
          <w:sz w:val="22"/>
          <w:szCs w:val="22"/>
          <w:lang w:val="en-US"/>
        </w:rPr>
        <w:t>full-</w:t>
      </w:r>
      <w:r w:rsidR="00007D2E">
        <w:rPr>
          <w:rFonts w:asciiTheme="minorHAnsi" w:eastAsiaTheme="minorHAnsi" w:hAnsiTheme="minorHAnsi" w:cstheme="minorBidi"/>
          <w:sz w:val="22"/>
          <w:szCs w:val="22"/>
          <w:lang w:val="en-US"/>
        </w:rPr>
        <w:t>time employment rate</w:t>
      </w:r>
      <w:r w:rsidR="00AD6725">
        <w:rPr>
          <w:rFonts w:asciiTheme="minorHAnsi" w:eastAsiaTheme="minorHAnsi" w:hAnsiTheme="minorHAnsi" w:cstheme="minorBidi"/>
          <w:sz w:val="22"/>
          <w:szCs w:val="22"/>
          <w:lang w:val="en-US"/>
        </w:rPr>
        <w:t xml:space="preserve"> was</w:t>
      </w:r>
      <w:r w:rsidR="00007D2E">
        <w:rPr>
          <w:rFonts w:asciiTheme="minorHAnsi" w:eastAsiaTheme="minorHAnsi" w:hAnsiTheme="minorHAnsi" w:cstheme="minorBidi"/>
          <w:sz w:val="22"/>
          <w:szCs w:val="22"/>
          <w:lang w:val="en-US"/>
        </w:rPr>
        <w:t xml:space="preserve"> </w:t>
      </w:r>
      <w:r w:rsidR="00DC4D40">
        <w:rPr>
          <w:rFonts w:asciiTheme="minorHAnsi" w:eastAsiaTheme="minorHAnsi" w:hAnsiTheme="minorHAnsi" w:cstheme="minorBidi"/>
          <w:sz w:val="22"/>
          <w:szCs w:val="22"/>
          <w:lang w:val="en-US"/>
        </w:rPr>
        <w:t>61% of the average</w:t>
      </w:r>
      <w:r w:rsidR="00C476FA">
        <w:rPr>
          <w:rFonts w:asciiTheme="minorHAnsi" w:eastAsiaTheme="minorHAnsi" w:hAnsiTheme="minorHAnsi" w:cstheme="minorBidi"/>
          <w:sz w:val="22"/>
          <w:szCs w:val="22"/>
          <w:lang w:val="en-US"/>
        </w:rPr>
        <w:t xml:space="preserve">. </w:t>
      </w:r>
      <w:r w:rsidR="00007D2E">
        <w:rPr>
          <w:rFonts w:asciiTheme="minorHAnsi" w:eastAsiaTheme="minorHAnsi" w:hAnsiTheme="minorHAnsi" w:cstheme="minorBidi"/>
          <w:sz w:val="22"/>
          <w:szCs w:val="22"/>
          <w:lang w:val="en-US"/>
        </w:rPr>
        <w:t>By</w:t>
      </w:r>
      <w:r w:rsidR="00DC4D40">
        <w:rPr>
          <w:rFonts w:asciiTheme="minorHAnsi" w:eastAsiaTheme="minorHAnsi" w:hAnsiTheme="minorHAnsi" w:cstheme="minorBidi"/>
          <w:sz w:val="22"/>
          <w:szCs w:val="22"/>
          <w:lang w:val="en-US"/>
        </w:rPr>
        <w:t xml:space="preserve"> 2004, </w:t>
      </w:r>
      <w:r w:rsidR="00C476FA">
        <w:rPr>
          <w:rFonts w:asciiTheme="minorHAnsi" w:eastAsiaTheme="minorHAnsi" w:hAnsiTheme="minorHAnsi" w:cstheme="minorBidi"/>
          <w:sz w:val="22"/>
          <w:szCs w:val="22"/>
          <w:lang w:val="en-US"/>
        </w:rPr>
        <w:t>the</w:t>
      </w:r>
      <w:r w:rsidR="00007D2E">
        <w:rPr>
          <w:rFonts w:asciiTheme="minorHAnsi" w:eastAsiaTheme="minorHAnsi" w:hAnsiTheme="minorHAnsi" w:cstheme="minorBidi"/>
          <w:sz w:val="22"/>
          <w:szCs w:val="22"/>
          <w:lang w:val="en-US"/>
        </w:rPr>
        <w:t xml:space="preserve">se figures </w:t>
      </w:r>
      <w:r w:rsidR="00C476FA">
        <w:rPr>
          <w:rFonts w:asciiTheme="minorHAnsi" w:eastAsiaTheme="minorHAnsi" w:hAnsiTheme="minorHAnsi" w:cstheme="minorBidi"/>
          <w:sz w:val="22"/>
          <w:szCs w:val="22"/>
          <w:lang w:val="en-US"/>
        </w:rPr>
        <w:t>had fallen further</w:t>
      </w:r>
      <w:r w:rsidR="00B95734">
        <w:rPr>
          <w:rFonts w:asciiTheme="minorHAnsi" w:eastAsiaTheme="minorHAnsi" w:hAnsiTheme="minorHAnsi" w:cstheme="minorBidi"/>
          <w:sz w:val="22"/>
          <w:szCs w:val="22"/>
          <w:lang w:val="en-US"/>
        </w:rPr>
        <w:t>,</w:t>
      </w:r>
      <w:r w:rsidR="00C476FA">
        <w:rPr>
          <w:rFonts w:asciiTheme="minorHAnsi" w:eastAsiaTheme="minorHAnsi" w:hAnsiTheme="minorHAnsi" w:cstheme="minorBidi"/>
          <w:sz w:val="22"/>
          <w:szCs w:val="22"/>
          <w:lang w:val="en-US"/>
        </w:rPr>
        <w:t xml:space="preserve"> to </w:t>
      </w:r>
      <w:r w:rsidR="00DC4D40">
        <w:rPr>
          <w:rFonts w:asciiTheme="minorHAnsi" w:eastAsiaTheme="minorHAnsi" w:hAnsiTheme="minorHAnsi" w:cstheme="minorBidi"/>
          <w:sz w:val="22"/>
          <w:szCs w:val="22"/>
          <w:lang w:val="en-US"/>
        </w:rPr>
        <w:t xml:space="preserve">56% </w:t>
      </w:r>
      <w:r w:rsidR="00007D2E">
        <w:rPr>
          <w:rFonts w:asciiTheme="minorHAnsi" w:eastAsiaTheme="minorHAnsi" w:hAnsiTheme="minorHAnsi" w:cstheme="minorBidi"/>
          <w:sz w:val="22"/>
          <w:szCs w:val="22"/>
          <w:lang w:val="en-US"/>
        </w:rPr>
        <w:t>and</w:t>
      </w:r>
      <w:r w:rsidR="00DC4D40">
        <w:rPr>
          <w:rFonts w:asciiTheme="minorHAnsi" w:eastAsiaTheme="minorHAnsi" w:hAnsiTheme="minorHAnsi" w:cstheme="minorBidi"/>
          <w:sz w:val="22"/>
          <w:szCs w:val="22"/>
          <w:lang w:val="en-US"/>
        </w:rPr>
        <w:t xml:space="preserve"> 45%</w:t>
      </w:r>
      <w:r w:rsidR="00172B1B">
        <w:rPr>
          <w:rFonts w:asciiTheme="minorHAnsi" w:eastAsiaTheme="minorHAnsi" w:hAnsiTheme="minorHAnsi" w:cstheme="minorBidi"/>
          <w:sz w:val="22"/>
          <w:szCs w:val="22"/>
          <w:lang w:val="en-US"/>
        </w:rPr>
        <w:t xml:space="preserve"> (Figure 3)</w:t>
      </w:r>
      <w:r w:rsidR="00DC4D40">
        <w:rPr>
          <w:rFonts w:asciiTheme="minorHAnsi" w:eastAsiaTheme="minorHAnsi" w:hAnsiTheme="minorHAnsi" w:cstheme="minorBidi"/>
          <w:sz w:val="22"/>
          <w:szCs w:val="22"/>
          <w:lang w:val="en-US"/>
        </w:rPr>
        <w:t xml:space="preserve">. In </w:t>
      </w:r>
      <w:r w:rsidR="00D6281B">
        <w:rPr>
          <w:rFonts w:asciiTheme="minorHAnsi" w:eastAsiaTheme="minorHAnsi" w:hAnsiTheme="minorHAnsi" w:cstheme="minorBidi"/>
          <w:sz w:val="22"/>
          <w:szCs w:val="22"/>
          <w:lang w:val="en-US"/>
        </w:rPr>
        <w:t xml:space="preserve">his </w:t>
      </w:r>
      <w:r w:rsidR="00B95734">
        <w:rPr>
          <w:rFonts w:asciiTheme="minorHAnsi" w:eastAsiaTheme="minorHAnsi" w:hAnsiTheme="minorHAnsi" w:cstheme="minorBidi"/>
          <w:sz w:val="22"/>
          <w:szCs w:val="22"/>
          <w:lang w:val="en-US"/>
        </w:rPr>
        <w:t xml:space="preserve">2007 </w:t>
      </w:r>
      <w:r w:rsidR="00D6281B">
        <w:rPr>
          <w:rFonts w:asciiTheme="minorHAnsi" w:eastAsiaTheme="minorHAnsi" w:hAnsiTheme="minorHAnsi" w:cstheme="minorBidi"/>
          <w:sz w:val="22"/>
          <w:szCs w:val="22"/>
          <w:lang w:val="en-US"/>
        </w:rPr>
        <w:t>rev</w:t>
      </w:r>
      <w:r w:rsidR="00DC4D40">
        <w:rPr>
          <w:rFonts w:asciiTheme="minorHAnsi" w:eastAsiaTheme="minorHAnsi" w:hAnsiTheme="minorHAnsi" w:cstheme="minorBidi"/>
          <w:sz w:val="22"/>
          <w:szCs w:val="22"/>
          <w:lang w:val="en-US"/>
        </w:rPr>
        <w:t>iew of</w:t>
      </w:r>
      <w:r w:rsidR="00D6281B">
        <w:rPr>
          <w:rFonts w:asciiTheme="minorHAnsi" w:eastAsiaTheme="minorHAnsi" w:hAnsiTheme="minorHAnsi" w:cstheme="minorBidi"/>
          <w:sz w:val="22"/>
          <w:szCs w:val="22"/>
          <w:lang w:val="en-US"/>
        </w:rPr>
        <w:t xml:space="preserve"> social housing</w:t>
      </w:r>
      <w:r w:rsidR="00DC4D40">
        <w:rPr>
          <w:rFonts w:asciiTheme="minorHAnsi" w:eastAsiaTheme="minorHAnsi" w:hAnsiTheme="minorHAnsi" w:cstheme="minorBidi"/>
          <w:sz w:val="22"/>
          <w:szCs w:val="22"/>
          <w:lang w:val="en-US"/>
        </w:rPr>
        <w:t xml:space="preserve"> </w:t>
      </w:r>
      <w:r w:rsidR="00B95734">
        <w:rPr>
          <w:rFonts w:asciiTheme="minorHAnsi" w:eastAsiaTheme="minorHAnsi" w:hAnsiTheme="minorHAnsi" w:cstheme="minorBidi"/>
          <w:sz w:val="22"/>
          <w:szCs w:val="22"/>
          <w:lang w:val="en-US"/>
        </w:rPr>
        <w:t xml:space="preserve">for </w:t>
      </w:r>
      <w:r w:rsidR="0039026A">
        <w:rPr>
          <w:rFonts w:asciiTheme="minorHAnsi" w:eastAsiaTheme="minorHAnsi" w:hAnsiTheme="minorHAnsi" w:cstheme="minorBidi"/>
          <w:sz w:val="22"/>
          <w:szCs w:val="22"/>
          <w:lang w:val="en-US"/>
        </w:rPr>
        <w:t xml:space="preserve">the </w:t>
      </w:r>
      <w:r w:rsidR="00B95734">
        <w:rPr>
          <w:rFonts w:asciiTheme="minorHAnsi" w:eastAsiaTheme="minorHAnsi" w:hAnsiTheme="minorHAnsi" w:cstheme="minorBidi"/>
          <w:sz w:val="22"/>
          <w:szCs w:val="22"/>
          <w:lang w:val="en-US"/>
        </w:rPr>
        <w:t>government</w:t>
      </w:r>
      <w:r w:rsidR="00D6281B">
        <w:rPr>
          <w:rFonts w:asciiTheme="minorHAnsi" w:eastAsiaTheme="minorHAnsi" w:hAnsiTheme="minorHAnsi" w:cstheme="minorBidi"/>
          <w:sz w:val="22"/>
          <w:szCs w:val="22"/>
          <w:lang w:val="en-US"/>
        </w:rPr>
        <w:t>, John Hills</w:t>
      </w:r>
      <w:r w:rsidR="00DC4D40">
        <w:rPr>
          <w:rFonts w:asciiTheme="minorHAnsi" w:eastAsiaTheme="minorHAnsi" w:hAnsiTheme="minorHAnsi" w:cstheme="minorBidi"/>
          <w:sz w:val="22"/>
          <w:szCs w:val="22"/>
          <w:lang w:val="en-US"/>
        </w:rPr>
        <w:t xml:space="preserve"> </w:t>
      </w:r>
      <w:r w:rsidR="00C476FA">
        <w:rPr>
          <w:rFonts w:asciiTheme="minorHAnsi" w:eastAsiaTheme="minorHAnsi" w:hAnsiTheme="minorHAnsi" w:cstheme="minorBidi"/>
          <w:sz w:val="22"/>
          <w:szCs w:val="22"/>
          <w:lang w:val="en-US"/>
        </w:rPr>
        <w:t xml:space="preserve">described this as a </w:t>
      </w:r>
      <w:r w:rsidR="00DC4D40">
        <w:rPr>
          <w:rFonts w:asciiTheme="minorHAnsi" w:eastAsiaTheme="minorHAnsi" w:hAnsiTheme="minorHAnsi" w:cstheme="minorBidi"/>
          <w:sz w:val="22"/>
          <w:szCs w:val="22"/>
          <w:lang w:val="en-US"/>
        </w:rPr>
        <w:t>“</w:t>
      </w:r>
      <w:r w:rsidR="00DC4D40" w:rsidRPr="00DC4D40">
        <w:rPr>
          <w:rFonts w:asciiTheme="minorHAnsi" w:eastAsiaTheme="minorHAnsi" w:hAnsiTheme="minorHAnsi" w:cstheme="minorBidi"/>
          <w:i/>
          <w:sz w:val="22"/>
          <w:szCs w:val="22"/>
          <w:lang w:val="en-US"/>
        </w:rPr>
        <w:t>collapse</w:t>
      </w:r>
      <w:r w:rsidR="00C476FA">
        <w:rPr>
          <w:rFonts w:asciiTheme="minorHAnsi" w:eastAsiaTheme="minorHAnsi" w:hAnsiTheme="minorHAnsi" w:cstheme="minorBidi"/>
          <w:i/>
          <w:sz w:val="22"/>
          <w:szCs w:val="22"/>
          <w:lang w:val="en-US"/>
        </w:rPr>
        <w:t>”</w:t>
      </w:r>
      <w:r w:rsidR="00DC4D40">
        <w:rPr>
          <w:rStyle w:val="EndnoteReference"/>
          <w:rFonts w:asciiTheme="minorHAnsi" w:eastAsiaTheme="minorHAnsi" w:hAnsiTheme="minorHAnsi" w:cstheme="minorBidi"/>
          <w:i/>
          <w:sz w:val="22"/>
          <w:szCs w:val="22"/>
          <w:lang w:val="en-US"/>
        </w:rPr>
        <w:endnoteReference w:id="5"/>
      </w:r>
      <w:r w:rsidR="00007D2E">
        <w:rPr>
          <w:rFonts w:asciiTheme="minorHAnsi" w:eastAsiaTheme="minorHAnsi" w:hAnsiTheme="minorHAnsi" w:cstheme="minorBidi"/>
          <w:i/>
          <w:sz w:val="22"/>
          <w:szCs w:val="22"/>
          <w:lang w:val="en-US"/>
        </w:rPr>
        <w:t xml:space="preserve">. </w:t>
      </w:r>
      <w:r w:rsidR="00B95734">
        <w:rPr>
          <w:rFonts w:asciiTheme="minorHAnsi" w:eastAsiaTheme="minorHAnsi" w:hAnsiTheme="minorHAnsi" w:cstheme="minorBidi"/>
          <w:sz w:val="22"/>
          <w:szCs w:val="22"/>
          <w:lang w:val="en-US"/>
        </w:rPr>
        <w:t>M</w:t>
      </w:r>
      <w:r w:rsidR="00007D2E" w:rsidRPr="00007D2E">
        <w:rPr>
          <w:rFonts w:asciiTheme="minorHAnsi" w:eastAsiaTheme="minorHAnsi" w:hAnsiTheme="minorHAnsi" w:cstheme="minorBidi"/>
          <w:sz w:val="22"/>
          <w:szCs w:val="22"/>
          <w:lang w:val="en-US"/>
        </w:rPr>
        <w:t xml:space="preserve">ost subsequent social housing policymaking </w:t>
      </w:r>
      <w:r w:rsidR="00172B1B">
        <w:rPr>
          <w:rFonts w:asciiTheme="minorHAnsi" w:eastAsiaTheme="minorHAnsi" w:hAnsiTheme="minorHAnsi" w:cstheme="minorBidi"/>
          <w:sz w:val="22"/>
          <w:szCs w:val="22"/>
          <w:lang w:val="en-US"/>
        </w:rPr>
        <w:t xml:space="preserve">has gone on </w:t>
      </w:r>
      <w:r w:rsidR="00007D2E" w:rsidRPr="00007D2E">
        <w:rPr>
          <w:rFonts w:asciiTheme="minorHAnsi" w:eastAsiaTheme="minorHAnsi" w:hAnsiTheme="minorHAnsi" w:cstheme="minorBidi"/>
          <w:sz w:val="22"/>
          <w:szCs w:val="22"/>
          <w:lang w:val="en-US"/>
        </w:rPr>
        <w:t xml:space="preserve">in the gloomy shadow of presumed ongoing </w:t>
      </w:r>
      <w:proofErr w:type="spellStart"/>
      <w:r w:rsidR="00007D2E" w:rsidRPr="00007D2E">
        <w:rPr>
          <w:rFonts w:asciiTheme="minorHAnsi" w:eastAsiaTheme="minorHAnsi" w:hAnsiTheme="minorHAnsi" w:cstheme="minorBidi"/>
          <w:sz w:val="22"/>
          <w:szCs w:val="22"/>
          <w:lang w:val="en-US"/>
        </w:rPr>
        <w:t>polarisation</w:t>
      </w:r>
      <w:proofErr w:type="spellEnd"/>
      <w:r w:rsidR="00C476FA" w:rsidRPr="00007D2E">
        <w:rPr>
          <w:rFonts w:asciiTheme="minorHAnsi" w:eastAsiaTheme="minorHAnsi" w:hAnsiTheme="minorHAnsi" w:cstheme="minorBidi"/>
          <w:sz w:val="22"/>
          <w:szCs w:val="22"/>
          <w:lang w:val="en-US"/>
        </w:rPr>
        <w:t>.</w:t>
      </w:r>
      <w:r w:rsidR="00C476FA">
        <w:rPr>
          <w:rFonts w:asciiTheme="minorHAnsi" w:eastAsiaTheme="minorHAnsi" w:hAnsiTheme="minorHAnsi" w:cstheme="minorBidi"/>
          <w:i/>
          <w:sz w:val="22"/>
          <w:szCs w:val="22"/>
          <w:lang w:val="en-US"/>
        </w:rPr>
        <w:t xml:space="preserve"> </w:t>
      </w:r>
    </w:p>
    <w:p w:rsidR="00A1715E" w:rsidRPr="00007D2E" w:rsidRDefault="00193BA6" w:rsidP="00A1715E">
      <w:pPr>
        <w:spacing w:before="0" w:after="200" w:line="276" w:lineRule="auto"/>
        <w:rPr>
          <w:rFonts w:asciiTheme="minorHAnsi" w:eastAsiaTheme="minorHAnsi" w:hAnsiTheme="minorHAnsi" w:cstheme="minorBidi"/>
          <w:i/>
          <w:sz w:val="22"/>
          <w:szCs w:val="22"/>
          <w:lang w:val="en-US"/>
        </w:rPr>
      </w:pPr>
      <w:r w:rsidRPr="00C476FA">
        <w:rPr>
          <w:rFonts w:asciiTheme="minorHAnsi" w:eastAsiaTheme="minorHAnsi" w:hAnsiTheme="minorHAnsi" w:cstheme="minorBidi"/>
          <w:sz w:val="22"/>
          <w:szCs w:val="22"/>
          <w:lang w:val="en-US"/>
        </w:rPr>
        <w:t xml:space="preserve">However, more recent evidence shows that Hills was writing </w:t>
      </w:r>
      <w:r w:rsidR="00281DED">
        <w:rPr>
          <w:rFonts w:asciiTheme="minorHAnsi" w:eastAsiaTheme="minorHAnsi" w:hAnsiTheme="minorHAnsi" w:cstheme="minorBidi"/>
          <w:sz w:val="22"/>
          <w:szCs w:val="22"/>
          <w:lang w:val="en-US"/>
        </w:rPr>
        <w:t xml:space="preserve">just when </w:t>
      </w:r>
      <w:r w:rsidRPr="00C476FA">
        <w:rPr>
          <w:rFonts w:asciiTheme="minorHAnsi" w:eastAsiaTheme="minorHAnsi" w:hAnsiTheme="minorHAnsi" w:cstheme="minorBidi"/>
          <w:sz w:val="22"/>
          <w:szCs w:val="22"/>
          <w:lang w:val="en-US"/>
        </w:rPr>
        <w:t xml:space="preserve">the population </w:t>
      </w:r>
      <w:r w:rsidR="00007D2E">
        <w:rPr>
          <w:rFonts w:asciiTheme="minorHAnsi" w:eastAsiaTheme="minorHAnsi" w:hAnsiTheme="minorHAnsi" w:cstheme="minorBidi"/>
          <w:sz w:val="22"/>
          <w:szCs w:val="22"/>
          <w:lang w:val="en-US"/>
        </w:rPr>
        <w:t xml:space="preserve">mix in </w:t>
      </w:r>
      <w:r w:rsidRPr="00C476FA">
        <w:rPr>
          <w:rFonts w:asciiTheme="minorHAnsi" w:eastAsiaTheme="minorHAnsi" w:hAnsiTheme="minorHAnsi" w:cstheme="minorBidi"/>
          <w:sz w:val="22"/>
          <w:szCs w:val="22"/>
          <w:lang w:val="en-US"/>
        </w:rPr>
        <w:t>different tenures w</w:t>
      </w:r>
      <w:r w:rsidR="00007D2E">
        <w:rPr>
          <w:rFonts w:asciiTheme="minorHAnsi" w:eastAsiaTheme="minorHAnsi" w:hAnsiTheme="minorHAnsi" w:cstheme="minorBidi"/>
          <w:sz w:val="22"/>
          <w:szCs w:val="22"/>
          <w:lang w:val="en-US"/>
        </w:rPr>
        <w:t xml:space="preserve">as </w:t>
      </w:r>
      <w:r w:rsidR="00281DED">
        <w:rPr>
          <w:rFonts w:asciiTheme="minorHAnsi" w:eastAsiaTheme="minorHAnsi" w:hAnsiTheme="minorHAnsi" w:cstheme="minorBidi"/>
          <w:sz w:val="22"/>
          <w:szCs w:val="22"/>
          <w:lang w:val="en-US"/>
        </w:rPr>
        <w:t>making a U-turn</w:t>
      </w:r>
      <w:r w:rsidRPr="00C476FA">
        <w:rPr>
          <w:rFonts w:asciiTheme="minorHAnsi" w:eastAsiaTheme="minorHAnsi" w:hAnsiTheme="minorHAnsi" w:cstheme="minorBidi"/>
          <w:sz w:val="22"/>
          <w:szCs w:val="22"/>
          <w:lang w:val="en-US"/>
        </w:rPr>
        <w:t>.</w:t>
      </w:r>
      <w:r w:rsidRPr="004217DE">
        <w:rPr>
          <w:rFonts w:asciiTheme="minorHAnsi" w:eastAsiaTheme="minorHAnsi" w:hAnsiTheme="minorHAnsi" w:cstheme="minorBidi"/>
          <w:i/>
          <w:sz w:val="22"/>
          <w:szCs w:val="22"/>
          <w:lang w:val="en-US"/>
        </w:rPr>
        <w:t xml:space="preserve"> </w:t>
      </w:r>
      <w:r w:rsidRPr="00193BA6">
        <w:rPr>
          <w:rFonts w:asciiTheme="minorHAnsi" w:eastAsiaTheme="minorHAnsi" w:hAnsiTheme="minorHAnsi" w:cstheme="minorBidi"/>
          <w:sz w:val="22"/>
          <w:szCs w:val="22"/>
          <w:lang w:val="en-US"/>
        </w:rPr>
        <w:t xml:space="preserve">The </w:t>
      </w:r>
      <w:r w:rsidR="00560276" w:rsidRPr="00193BA6">
        <w:rPr>
          <w:rFonts w:asciiTheme="minorHAnsi" w:eastAsiaTheme="minorHAnsi" w:hAnsiTheme="minorHAnsi" w:cstheme="minorBidi"/>
          <w:sz w:val="22"/>
          <w:szCs w:val="22"/>
          <w:lang w:val="en-US"/>
        </w:rPr>
        <w:t>turning</w:t>
      </w:r>
      <w:r w:rsidRPr="00193BA6">
        <w:rPr>
          <w:rFonts w:asciiTheme="minorHAnsi" w:eastAsiaTheme="minorHAnsi" w:hAnsiTheme="minorHAnsi" w:cstheme="minorBidi"/>
          <w:sz w:val="22"/>
          <w:szCs w:val="22"/>
          <w:lang w:val="en-US"/>
        </w:rPr>
        <w:t xml:space="preserve"> point for </w:t>
      </w:r>
      <w:r w:rsidR="00B95734">
        <w:rPr>
          <w:rFonts w:asciiTheme="minorHAnsi" w:eastAsiaTheme="minorHAnsi" w:hAnsiTheme="minorHAnsi" w:cstheme="minorBidi"/>
          <w:sz w:val="22"/>
          <w:szCs w:val="22"/>
          <w:lang w:val="en-US"/>
        </w:rPr>
        <w:t xml:space="preserve">low income </w:t>
      </w:r>
      <w:r w:rsidRPr="00193BA6">
        <w:rPr>
          <w:rFonts w:asciiTheme="minorHAnsi" w:eastAsiaTheme="minorHAnsi" w:hAnsiTheme="minorHAnsi" w:cstheme="minorBidi"/>
          <w:sz w:val="22"/>
          <w:szCs w:val="22"/>
          <w:lang w:val="en-US"/>
        </w:rPr>
        <w:t>h</w:t>
      </w:r>
      <w:r w:rsidR="00B95734">
        <w:rPr>
          <w:rFonts w:asciiTheme="minorHAnsi" w:eastAsiaTheme="minorHAnsi" w:hAnsiTheme="minorHAnsi" w:cstheme="minorBidi"/>
          <w:sz w:val="22"/>
          <w:szCs w:val="22"/>
          <w:lang w:val="en-US"/>
        </w:rPr>
        <w:t xml:space="preserve">ouseholds </w:t>
      </w:r>
      <w:r w:rsidRPr="00193BA6">
        <w:rPr>
          <w:rFonts w:asciiTheme="minorHAnsi" w:eastAsiaTheme="minorHAnsi" w:hAnsiTheme="minorHAnsi" w:cstheme="minorBidi"/>
          <w:sz w:val="22"/>
          <w:szCs w:val="22"/>
          <w:lang w:val="en-US"/>
        </w:rPr>
        <w:t xml:space="preserve">was as </w:t>
      </w:r>
      <w:r w:rsidR="00007D2E">
        <w:rPr>
          <w:rFonts w:asciiTheme="minorHAnsi" w:eastAsiaTheme="minorHAnsi" w:hAnsiTheme="minorHAnsi" w:cstheme="minorBidi"/>
          <w:sz w:val="22"/>
          <w:szCs w:val="22"/>
          <w:lang w:val="en-US"/>
        </w:rPr>
        <w:t>long ago as</w:t>
      </w:r>
      <w:r w:rsidRPr="00193BA6">
        <w:rPr>
          <w:rFonts w:asciiTheme="minorHAnsi" w:eastAsiaTheme="minorHAnsi" w:hAnsiTheme="minorHAnsi" w:cstheme="minorBidi"/>
          <w:sz w:val="22"/>
          <w:szCs w:val="22"/>
          <w:lang w:val="en-US"/>
        </w:rPr>
        <w:t xml:space="preserve"> the early 1990s. Pearce and Vine found </w:t>
      </w:r>
      <w:r w:rsidR="00E456E0">
        <w:rPr>
          <w:rFonts w:asciiTheme="minorHAnsi" w:eastAsiaTheme="minorHAnsi" w:hAnsiTheme="minorHAnsi" w:cstheme="minorBidi"/>
          <w:sz w:val="22"/>
          <w:szCs w:val="22"/>
          <w:lang w:val="en-US"/>
        </w:rPr>
        <w:t xml:space="preserve">that the </w:t>
      </w:r>
      <w:r w:rsidR="00C476FA">
        <w:rPr>
          <w:rFonts w:asciiTheme="minorHAnsi" w:eastAsiaTheme="minorHAnsi" w:hAnsiTheme="minorHAnsi" w:cstheme="minorBidi"/>
          <w:sz w:val="22"/>
          <w:szCs w:val="22"/>
          <w:lang w:val="en-US"/>
        </w:rPr>
        <w:t>proporti</w:t>
      </w:r>
      <w:r w:rsidR="00B95734">
        <w:rPr>
          <w:rFonts w:asciiTheme="minorHAnsi" w:eastAsiaTheme="minorHAnsi" w:hAnsiTheme="minorHAnsi" w:cstheme="minorBidi"/>
          <w:sz w:val="22"/>
          <w:szCs w:val="22"/>
          <w:lang w:val="en-US"/>
        </w:rPr>
        <w:t>on of social renting household members</w:t>
      </w:r>
      <w:r w:rsidR="004843FA">
        <w:rPr>
          <w:rFonts w:asciiTheme="minorHAnsi" w:eastAsiaTheme="minorHAnsi" w:hAnsiTheme="minorHAnsi" w:cstheme="minorBidi"/>
          <w:sz w:val="22"/>
          <w:szCs w:val="22"/>
          <w:lang w:val="en-US"/>
        </w:rPr>
        <w:t xml:space="preserve"> in the </w:t>
      </w:r>
      <w:r w:rsidR="00C476FA">
        <w:rPr>
          <w:rFonts w:asciiTheme="minorHAnsi" w:eastAsiaTheme="minorHAnsi" w:hAnsiTheme="minorHAnsi" w:cstheme="minorBidi"/>
          <w:sz w:val="22"/>
          <w:szCs w:val="22"/>
          <w:lang w:val="en-US"/>
        </w:rPr>
        <w:t>poorest fifth of the population</w:t>
      </w:r>
      <w:r w:rsidR="00B95734">
        <w:rPr>
          <w:rFonts w:asciiTheme="minorHAnsi" w:eastAsiaTheme="minorHAnsi" w:hAnsiTheme="minorHAnsi" w:cstheme="minorBidi"/>
          <w:sz w:val="22"/>
          <w:szCs w:val="22"/>
          <w:lang w:val="en-US"/>
        </w:rPr>
        <w:t xml:space="preserve"> </w:t>
      </w:r>
      <w:r w:rsidR="00007D2E">
        <w:rPr>
          <w:rFonts w:asciiTheme="minorHAnsi" w:eastAsiaTheme="minorHAnsi" w:hAnsiTheme="minorHAnsi" w:cstheme="minorBidi"/>
          <w:sz w:val="22"/>
          <w:szCs w:val="22"/>
          <w:lang w:val="en-US"/>
        </w:rPr>
        <w:t xml:space="preserve">peaked </w:t>
      </w:r>
      <w:r w:rsidR="00C5520D">
        <w:rPr>
          <w:rFonts w:asciiTheme="minorHAnsi" w:eastAsiaTheme="minorHAnsi" w:hAnsiTheme="minorHAnsi" w:cstheme="minorBidi"/>
          <w:sz w:val="22"/>
          <w:szCs w:val="22"/>
          <w:lang w:val="en-US"/>
        </w:rPr>
        <w:t xml:space="preserve">in 1991 </w:t>
      </w:r>
      <w:r w:rsidR="00C476FA">
        <w:rPr>
          <w:rFonts w:asciiTheme="minorHAnsi" w:eastAsiaTheme="minorHAnsi" w:hAnsiTheme="minorHAnsi" w:cstheme="minorBidi"/>
          <w:sz w:val="22"/>
          <w:szCs w:val="22"/>
          <w:lang w:val="en-US"/>
        </w:rPr>
        <w:t xml:space="preserve">at </w:t>
      </w:r>
      <w:r w:rsidR="00E456E0">
        <w:rPr>
          <w:rFonts w:asciiTheme="minorHAnsi" w:eastAsiaTheme="minorHAnsi" w:hAnsiTheme="minorHAnsi" w:cstheme="minorBidi"/>
          <w:sz w:val="22"/>
          <w:szCs w:val="22"/>
          <w:lang w:val="en-US"/>
        </w:rPr>
        <w:t xml:space="preserve">just over </w:t>
      </w:r>
      <w:r w:rsidR="00C476FA">
        <w:rPr>
          <w:rFonts w:asciiTheme="minorHAnsi" w:eastAsiaTheme="minorHAnsi" w:hAnsiTheme="minorHAnsi" w:cstheme="minorBidi"/>
          <w:sz w:val="22"/>
          <w:szCs w:val="22"/>
          <w:lang w:val="en-US"/>
        </w:rPr>
        <w:t>half</w:t>
      </w:r>
      <w:r w:rsidR="00007D2E">
        <w:rPr>
          <w:rFonts w:asciiTheme="minorHAnsi" w:eastAsiaTheme="minorHAnsi" w:hAnsiTheme="minorHAnsi" w:cstheme="minorBidi"/>
          <w:sz w:val="22"/>
          <w:szCs w:val="22"/>
          <w:lang w:val="en-US"/>
        </w:rPr>
        <w:t xml:space="preserve">, and then remained steady </w:t>
      </w:r>
      <w:r w:rsidRPr="00193BA6">
        <w:rPr>
          <w:rFonts w:asciiTheme="minorHAnsi" w:eastAsiaTheme="minorHAnsi" w:hAnsiTheme="minorHAnsi" w:cstheme="minorBidi"/>
          <w:sz w:val="22"/>
          <w:szCs w:val="22"/>
          <w:lang w:val="en-US"/>
        </w:rPr>
        <w:t>1991-2010</w:t>
      </w:r>
      <w:r w:rsidR="00B95734">
        <w:rPr>
          <w:rFonts w:asciiTheme="minorHAnsi" w:eastAsiaTheme="minorHAnsi" w:hAnsiTheme="minorHAnsi" w:cstheme="minorBidi"/>
          <w:sz w:val="22"/>
          <w:szCs w:val="22"/>
          <w:lang w:val="en-US"/>
        </w:rPr>
        <w:t xml:space="preserve"> (</w:t>
      </w:r>
      <w:r w:rsidR="00B95734">
        <w:rPr>
          <w:rFonts w:asciiTheme="minorHAnsi" w:eastAsiaTheme="minorHAnsi" w:hAnsiTheme="minorHAnsi" w:cstheme="minorBidi"/>
          <w:sz w:val="22"/>
          <w:szCs w:val="22"/>
          <w:lang w:val="en-US"/>
        </w:rPr>
        <w:t xml:space="preserve">according to household income before housing costs and </w:t>
      </w:r>
      <w:proofErr w:type="spellStart"/>
      <w:r w:rsidR="00B95734">
        <w:rPr>
          <w:rFonts w:asciiTheme="minorHAnsi" w:eastAsiaTheme="minorHAnsi" w:hAnsiTheme="minorHAnsi" w:cstheme="minorBidi"/>
          <w:sz w:val="22"/>
          <w:szCs w:val="22"/>
          <w:lang w:val="en-US"/>
        </w:rPr>
        <w:t>equivalised</w:t>
      </w:r>
      <w:proofErr w:type="spellEnd"/>
      <w:r w:rsidR="00B95734">
        <w:rPr>
          <w:rFonts w:asciiTheme="minorHAnsi" w:eastAsiaTheme="minorHAnsi" w:hAnsiTheme="minorHAnsi" w:cstheme="minorBidi"/>
          <w:sz w:val="22"/>
          <w:szCs w:val="22"/>
          <w:lang w:val="en-US"/>
        </w:rPr>
        <w:t xml:space="preserve"> for household </w:t>
      </w:r>
      <w:r w:rsidR="00AD6725">
        <w:rPr>
          <w:rFonts w:asciiTheme="minorHAnsi" w:eastAsiaTheme="minorHAnsi" w:hAnsiTheme="minorHAnsi" w:cstheme="minorBidi"/>
          <w:sz w:val="22"/>
          <w:szCs w:val="22"/>
          <w:lang w:val="en-US"/>
        </w:rPr>
        <w:t>size</w:t>
      </w:r>
      <w:r w:rsidR="00B95734">
        <w:rPr>
          <w:rFonts w:asciiTheme="minorHAnsi" w:eastAsiaTheme="minorHAnsi" w:hAnsiTheme="minorHAnsi" w:cstheme="minorBidi"/>
          <w:sz w:val="22"/>
          <w:szCs w:val="22"/>
          <w:lang w:val="en-US"/>
        </w:rPr>
        <w:t>)</w:t>
      </w:r>
      <w:r w:rsidRPr="00193BA6">
        <w:rPr>
          <w:rFonts w:asciiTheme="minorHAnsi" w:eastAsiaTheme="minorHAnsi" w:hAnsiTheme="minorHAnsi" w:cstheme="minorBidi"/>
          <w:sz w:val="22"/>
          <w:szCs w:val="22"/>
          <w:lang w:val="en-US"/>
        </w:rPr>
        <w:t xml:space="preserve">. </w:t>
      </w:r>
      <w:r w:rsidRPr="00E456E0">
        <w:rPr>
          <w:rFonts w:asciiTheme="minorHAnsi" w:eastAsiaTheme="minorHAnsi" w:hAnsiTheme="minorHAnsi" w:cstheme="minorBidi"/>
          <w:sz w:val="22"/>
          <w:szCs w:val="22"/>
          <w:lang w:val="en-US"/>
        </w:rPr>
        <w:t xml:space="preserve">The </w:t>
      </w:r>
      <w:r w:rsidR="00E456E0" w:rsidRPr="00E456E0">
        <w:rPr>
          <w:rFonts w:asciiTheme="minorHAnsi" w:eastAsiaTheme="minorHAnsi" w:hAnsiTheme="minorHAnsi" w:cstheme="minorBidi"/>
          <w:sz w:val="22"/>
          <w:szCs w:val="22"/>
          <w:lang w:val="en-US"/>
        </w:rPr>
        <w:t xml:space="preserve">proportion of home owners in the poorest fifth was much lower, at about 10%, but grew slightly over the 1990s and 2000s, meaning </w:t>
      </w:r>
      <w:r w:rsidR="00C5520D">
        <w:rPr>
          <w:rFonts w:asciiTheme="minorHAnsi" w:eastAsiaTheme="minorHAnsi" w:hAnsiTheme="minorHAnsi" w:cstheme="minorBidi"/>
          <w:sz w:val="22"/>
          <w:szCs w:val="22"/>
          <w:lang w:val="en-US"/>
        </w:rPr>
        <w:t xml:space="preserve">a slight reduction in </w:t>
      </w:r>
      <w:r w:rsidR="00E456E0" w:rsidRPr="00E456E0">
        <w:rPr>
          <w:rFonts w:asciiTheme="minorHAnsi" w:eastAsiaTheme="minorHAnsi" w:hAnsiTheme="minorHAnsi" w:cstheme="minorBidi"/>
          <w:sz w:val="22"/>
          <w:szCs w:val="22"/>
          <w:lang w:val="en-US"/>
        </w:rPr>
        <w:t>the gap between the two tenures</w:t>
      </w:r>
      <w:r w:rsidR="00E456E0">
        <w:rPr>
          <w:rStyle w:val="EndnoteReference"/>
          <w:rFonts w:asciiTheme="minorHAnsi" w:eastAsiaTheme="minorHAnsi" w:hAnsiTheme="minorHAnsi" w:cstheme="minorBidi"/>
          <w:sz w:val="22"/>
          <w:szCs w:val="22"/>
          <w:lang w:val="en-US"/>
        </w:rPr>
        <w:endnoteReference w:id="6"/>
      </w:r>
      <w:r w:rsidRPr="00E456E0">
        <w:rPr>
          <w:rFonts w:asciiTheme="minorHAnsi" w:eastAsiaTheme="minorHAnsi" w:hAnsiTheme="minorHAnsi" w:cstheme="minorBidi"/>
          <w:sz w:val="22"/>
          <w:szCs w:val="22"/>
          <w:lang w:val="en-US"/>
        </w:rPr>
        <w:t xml:space="preserve">. </w:t>
      </w:r>
      <w:r w:rsidRPr="00193BA6">
        <w:rPr>
          <w:rFonts w:asciiTheme="minorHAnsi" w:eastAsiaTheme="minorHAnsi" w:hAnsiTheme="minorHAnsi" w:cstheme="minorBidi"/>
          <w:sz w:val="22"/>
          <w:szCs w:val="22"/>
          <w:lang w:val="en-US"/>
        </w:rPr>
        <w:t xml:space="preserve">The </w:t>
      </w:r>
      <w:r w:rsidR="00560276" w:rsidRPr="00193BA6">
        <w:rPr>
          <w:rFonts w:asciiTheme="minorHAnsi" w:eastAsiaTheme="minorHAnsi" w:hAnsiTheme="minorHAnsi" w:cstheme="minorBidi"/>
          <w:sz w:val="22"/>
          <w:szCs w:val="22"/>
          <w:lang w:val="en-US"/>
        </w:rPr>
        <w:t>turning</w:t>
      </w:r>
      <w:r w:rsidRPr="00193BA6">
        <w:rPr>
          <w:rFonts w:asciiTheme="minorHAnsi" w:eastAsiaTheme="minorHAnsi" w:hAnsiTheme="minorHAnsi" w:cstheme="minorBidi"/>
          <w:sz w:val="22"/>
          <w:szCs w:val="22"/>
          <w:lang w:val="en-US"/>
        </w:rPr>
        <w:t xml:space="preserve"> point for median incomes </w:t>
      </w:r>
      <w:r w:rsidR="00C5520D">
        <w:rPr>
          <w:rFonts w:asciiTheme="minorHAnsi" w:eastAsiaTheme="minorHAnsi" w:hAnsiTheme="minorHAnsi" w:cstheme="minorBidi"/>
          <w:sz w:val="22"/>
          <w:szCs w:val="22"/>
          <w:lang w:val="en-US"/>
        </w:rPr>
        <w:lastRenderedPageBreak/>
        <w:t>and</w:t>
      </w:r>
      <w:r w:rsidRPr="00193BA6">
        <w:rPr>
          <w:rFonts w:asciiTheme="minorHAnsi" w:eastAsiaTheme="minorHAnsi" w:hAnsiTheme="minorHAnsi" w:cstheme="minorBidi"/>
          <w:sz w:val="22"/>
          <w:szCs w:val="22"/>
          <w:lang w:val="en-US"/>
        </w:rPr>
        <w:t xml:space="preserve"> poverty rates was about a decade later. </w:t>
      </w:r>
      <w:r w:rsidR="00F44CE7">
        <w:rPr>
          <w:rFonts w:asciiTheme="minorHAnsi" w:eastAsiaTheme="minorHAnsi" w:hAnsiTheme="minorHAnsi" w:cstheme="minorBidi"/>
          <w:sz w:val="22"/>
          <w:szCs w:val="22"/>
          <w:lang w:val="en-US"/>
        </w:rPr>
        <w:t>A</w:t>
      </w:r>
      <w:r w:rsidR="0039026A">
        <w:rPr>
          <w:rFonts w:asciiTheme="minorHAnsi" w:eastAsiaTheme="minorHAnsi" w:hAnsiTheme="minorHAnsi" w:cstheme="minorBidi"/>
          <w:sz w:val="22"/>
          <w:szCs w:val="22"/>
          <w:lang w:val="en-US"/>
        </w:rPr>
        <w:t xml:space="preserve"> later</w:t>
      </w:r>
      <w:r w:rsidR="00F44CE7">
        <w:rPr>
          <w:rFonts w:asciiTheme="minorHAnsi" w:eastAsiaTheme="minorHAnsi" w:hAnsiTheme="minorHAnsi" w:cstheme="minorBidi"/>
          <w:sz w:val="22"/>
          <w:szCs w:val="22"/>
          <w:lang w:val="en-US"/>
        </w:rPr>
        <w:t xml:space="preserve"> review by Hills spotted a leveling off</w:t>
      </w:r>
      <w:r w:rsidR="00C5520D">
        <w:rPr>
          <w:rFonts w:asciiTheme="minorHAnsi" w:eastAsiaTheme="minorHAnsi" w:hAnsiTheme="minorHAnsi" w:cstheme="minorBidi"/>
          <w:sz w:val="22"/>
          <w:szCs w:val="22"/>
          <w:lang w:val="en-US"/>
        </w:rPr>
        <w:t xml:space="preserve"> for social renters’ </w:t>
      </w:r>
      <w:r w:rsidRPr="00193BA6">
        <w:rPr>
          <w:rFonts w:asciiTheme="minorHAnsi" w:eastAsiaTheme="minorHAnsi" w:hAnsiTheme="minorHAnsi" w:cstheme="minorBidi"/>
          <w:sz w:val="22"/>
          <w:szCs w:val="22"/>
          <w:lang w:val="en-US"/>
        </w:rPr>
        <w:t>median net individua</w:t>
      </w:r>
      <w:r w:rsidR="00F44CE7">
        <w:rPr>
          <w:rFonts w:asciiTheme="minorHAnsi" w:eastAsiaTheme="minorHAnsi" w:hAnsiTheme="minorHAnsi" w:cstheme="minorBidi"/>
          <w:sz w:val="22"/>
          <w:szCs w:val="22"/>
          <w:lang w:val="en-US"/>
        </w:rPr>
        <w:t>l incomes</w:t>
      </w:r>
      <w:r w:rsidR="00511F36">
        <w:rPr>
          <w:rFonts w:asciiTheme="minorHAnsi" w:eastAsiaTheme="minorHAnsi" w:hAnsiTheme="minorHAnsi" w:cstheme="minorBidi"/>
          <w:sz w:val="22"/>
          <w:szCs w:val="22"/>
          <w:lang w:val="en-US"/>
        </w:rPr>
        <w:t xml:space="preserve"> when compared to the average over the 2000s</w:t>
      </w:r>
      <w:r w:rsidRPr="00193BA6">
        <w:rPr>
          <w:rFonts w:asciiTheme="minorHAnsi" w:eastAsiaTheme="minorHAnsi" w:hAnsiTheme="minorHAnsi" w:cstheme="minorBidi"/>
          <w:sz w:val="22"/>
          <w:szCs w:val="22"/>
          <w:vertAlign w:val="superscript"/>
          <w:lang w:val="en-US"/>
        </w:rPr>
        <w:endnoteReference w:id="7"/>
      </w:r>
      <w:r w:rsidRPr="00193BA6">
        <w:rPr>
          <w:rFonts w:asciiTheme="minorHAnsi" w:eastAsiaTheme="minorHAnsi" w:hAnsiTheme="minorHAnsi" w:cstheme="minorBidi"/>
          <w:sz w:val="22"/>
          <w:szCs w:val="22"/>
          <w:lang w:val="en-US"/>
        </w:rPr>
        <w:t xml:space="preserve">. </w:t>
      </w:r>
      <w:r w:rsidR="0039026A">
        <w:rPr>
          <w:rFonts w:asciiTheme="minorHAnsi" w:eastAsiaTheme="minorHAnsi" w:hAnsiTheme="minorHAnsi" w:cstheme="minorBidi"/>
          <w:sz w:val="22"/>
          <w:szCs w:val="22"/>
          <w:lang w:val="en-US"/>
        </w:rPr>
        <w:t>U</w:t>
      </w:r>
      <w:r w:rsidR="00F44CE7">
        <w:rPr>
          <w:rFonts w:asciiTheme="minorHAnsi" w:eastAsiaTheme="minorHAnsi" w:hAnsiTheme="minorHAnsi" w:cstheme="minorBidi"/>
          <w:sz w:val="22"/>
          <w:szCs w:val="22"/>
          <w:lang w:val="en-US"/>
        </w:rPr>
        <w:t xml:space="preserve">sing a </w:t>
      </w:r>
      <w:proofErr w:type="gramStart"/>
      <w:r w:rsidR="00F44CE7">
        <w:rPr>
          <w:rFonts w:asciiTheme="minorHAnsi" w:eastAsiaTheme="minorHAnsi" w:hAnsiTheme="minorHAnsi" w:cstheme="minorBidi"/>
          <w:sz w:val="22"/>
          <w:szCs w:val="22"/>
          <w:lang w:val="en-US"/>
        </w:rPr>
        <w:t>s</w:t>
      </w:r>
      <w:r w:rsidR="00511F36">
        <w:rPr>
          <w:rFonts w:asciiTheme="minorHAnsi" w:eastAsiaTheme="minorHAnsi" w:hAnsiTheme="minorHAnsi" w:cstheme="minorBidi"/>
          <w:sz w:val="22"/>
          <w:szCs w:val="22"/>
          <w:lang w:val="en-US"/>
        </w:rPr>
        <w:t xml:space="preserve">lightly </w:t>
      </w:r>
      <w:r w:rsidR="00F44CE7">
        <w:rPr>
          <w:rFonts w:asciiTheme="minorHAnsi" w:eastAsiaTheme="minorHAnsi" w:hAnsiTheme="minorHAnsi" w:cstheme="minorBidi"/>
          <w:sz w:val="22"/>
          <w:szCs w:val="22"/>
          <w:lang w:val="en-US"/>
        </w:rPr>
        <w:t xml:space="preserve"> different</w:t>
      </w:r>
      <w:proofErr w:type="gramEnd"/>
      <w:r w:rsidR="00F44CE7">
        <w:rPr>
          <w:rFonts w:asciiTheme="minorHAnsi" w:eastAsiaTheme="minorHAnsi" w:hAnsiTheme="minorHAnsi" w:cstheme="minorBidi"/>
          <w:sz w:val="22"/>
          <w:szCs w:val="22"/>
          <w:lang w:val="en-US"/>
        </w:rPr>
        <w:t xml:space="preserve"> measure</w:t>
      </w:r>
      <w:r w:rsidR="0039026A">
        <w:rPr>
          <w:rFonts w:asciiTheme="minorHAnsi" w:eastAsiaTheme="minorHAnsi" w:hAnsiTheme="minorHAnsi" w:cstheme="minorBidi"/>
          <w:sz w:val="22"/>
          <w:szCs w:val="22"/>
          <w:lang w:val="en-US"/>
        </w:rPr>
        <w:t>, Figure 2</w:t>
      </w:r>
      <w:r w:rsidR="00F44CE7">
        <w:rPr>
          <w:rFonts w:asciiTheme="minorHAnsi" w:eastAsiaTheme="minorHAnsi" w:hAnsiTheme="minorHAnsi" w:cstheme="minorBidi"/>
          <w:sz w:val="22"/>
          <w:szCs w:val="22"/>
          <w:lang w:val="en-US"/>
        </w:rPr>
        <w:t xml:space="preserve"> </w:t>
      </w:r>
      <w:r w:rsidR="00511F36">
        <w:rPr>
          <w:rFonts w:asciiTheme="minorHAnsi" w:eastAsiaTheme="minorHAnsi" w:hAnsiTheme="minorHAnsi" w:cstheme="minorBidi"/>
          <w:sz w:val="22"/>
          <w:szCs w:val="22"/>
          <w:lang w:val="en-US"/>
        </w:rPr>
        <w:t xml:space="preserve">shows that </w:t>
      </w:r>
      <w:r w:rsidR="00702FC6">
        <w:rPr>
          <w:rFonts w:asciiTheme="minorHAnsi" w:eastAsiaTheme="minorHAnsi" w:hAnsiTheme="minorHAnsi" w:cstheme="minorBidi"/>
          <w:sz w:val="22"/>
          <w:szCs w:val="22"/>
          <w:lang w:val="en-US"/>
        </w:rPr>
        <w:t>social tenants</w:t>
      </w:r>
      <w:r w:rsidR="00511F36">
        <w:rPr>
          <w:rFonts w:asciiTheme="minorHAnsi" w:eastAsiaTheme="minorHAnsi" w:hAnsiTheme="minorHAnsi" w:cstheme="minorBidi"/>
          <w:sz w:val="22"/>
          <w:szCs w:val="22"/>
          <w:lang w:val="en-US"/>
        </w:rPr>
        <w:t>’</w:t>
      </w:r>
      <w:r w:rsidR="00702FC6">
        <w:rPr>
          <w:rFonts w:asciiTheme="minorHAnsi" w:eastAsiaTheme="minorHAnsi" w:hAnsiTheme="minorHAnsi" w:cstheme="minorBidi"/>
          <w:sz w:val="22"/>
          <w:szCs w:val="22"/>
          <w:lang w:val="en-US"/>
        </w:rPr>
        <w:t xml:space="preserve"> average incomes </w:t>
      </w:r>
      <w:r w:rsidR="00511F36">
        <w:rPr>
          <w:rFonts w:asciiTheme="minorHAnsi" w:eastAsiaTheme="minorHAnsi" w:hAnsiTheme="minorHAnsi" w:cstheme="minorBidi"/>
          <w:sz w:val="22"/>
          <w:szCs w:val="22"/>
          <w:lang w:val="en-US"/>
        </w:rPr>
        <w:t xml:space="preserve">actually </w:t>
      </w:r>
      <w:r w:rsidR="00702FC6">
        <w:rPr>
          <w:rFonts w:asciiTheme="minorHAnsi" w:eastAsiaTheme="minorHAnsi" w:hAnsiTheme="minorHAnsi" w:cstheme="minorBidi"/>
          <w:sz w:val="22"/>
          <w:szCs w:val="22"/>
          <w:lang w:val="en-US"/>
        </w:rPr>
        <w:t xml:space="preserve">crept up on owners’ </w:t>
      </w:r>
      <w:r w:rsidR="00511F36">
        <w:rPr>
          <w:rFonts w:asciiTheme="minorHAnsi" w:eastAsiaTheme="minorHAnsi" w:hAnsiTheme="minorHAnsi" w:cstheme="minorBidi"/>
          <w:sz w:val="22"/>
          <w:szCs w:val="22"/>
          <w:lang w:val="en-US"/>
        </w:rPr>
        <w:t>during</w:t>
      </w:r>
      <w:r w:rsidR="00702FC6">
        <w:rPr>
          <w:rFonts w:asciiTheme="minorHAnsi" w:eastAsiaTheme="minorHAnsi" w:hAnsiTheme="minorHAnsi" w:cstheme="minorBidi"/>
          <w:sz w:val="22"/>
          <w:szCs w:val="22"/>
          <w:lang w:val="en-US"/>
        </w:rPr>
        <w:t xml:space="preserve"> the 2000s and 2010s.</w:t>
      </w:r>
      <w:r w:rsidR="00007D2E">
        <w:rPr>
          <w:rFonts w:asciiTheme="minorHAnsi" w:eastAsiaTheme="minorHAnsi" w:hAnsiTheme="minorHAnsi" w:cstheme="minorBidi"/>
          <w:i/>
          <w:sz w:val="22"/>
          <w:szCs w:val="22"/>
          <w:lang w:val="en-US"/>
        </w:rPr>
        <w:t xml:space="preserve"> </w:t>
      </w:r>
      <w:r w:rsidR="00007D2E">
        <w:rPr>
          <w:rFonts w:asciiTheme="minorHAnsi" w:eastAsiaTheme="minorHAnsi" w:hAnsiTheme="minorHAnsi" w:cstheme="minorBidi"/>
          <w:sz w:val="22"/>
          <w:szCs w:val="22"/>
          <w:lang w:val="en-US"/>
        </w:rPr>
        <w:t xml:space="preserve">Between </w:t>
      </w:r>
      <w:r w:rsidRPr="00193BA6">
        <w:rPr>
          <w:rFonts w:asciiTheme="minorHAnsi" w:eastAsiaTheme="minorHAnsi" w:hAnsiTheme="minorHAnsi" w:cstheme="minorBidi"/>
          <w:sz w:val="22"/>
          <w:szCs w:val="22"/>
          <w:lang w:val="en-US"/>
        </w:rPr>
        <w:t xml:space="preserve">2000/01 and 2008/09 the proportion of UK social renters </w:t>
      </w:r>
      <w:r w:rsidR="00575C12">
        <w:rPr>
          <w:rFonts w:asciiTheme="minorHAnsi" w:eastAsiaTheme="minorHAnsi" w:hAnsiTheme="minorHAnsi" w:cstheme="minorBidi"/>
          <w:sz w:val="22"/>
          <w:szCs w:val="22"/>
          <w:lang w:val="en-US"/>
        </w:rPr>
        <w:t>on poverty incomes fell</w:t>
      </w:r>
      <w:r w:rsidRPr="00193BA6">
        <w:rPr>
          <w:rFonts w:asciiTheme="minorHAnsi" w:eastAsiaTheme="minorHAnsi" w:hAnsiTheme="minorHAnsi" w:cstheme="minorBidi"/>
          <w:sz w:val="22"/>
          <w:szCs w:val="22"/>
          <w:lang w:val="en-US"/>
        </w:rPr>
        <w:t xml:space="preserve"> from 54% to 46%, </w:t>
      </w:r>
      <w:r w:rsidR="00E456E0">
        <w:rPr>
          <w:rFonts w:asciiTheme="minorHAnsi" w:eastAsiaTheme="minorHAnsi" w:hAnsiTheme="minorHAnsi" w:cstheme="minorBidi"/>
          <w:sz w:val="22"/>
          <w:szCs w:val="22"/>
          <w:lang w:val="en-US"/>
        </w:rPr>
        <w:t xml:space="preserve">reflecting </w:t>
      </w:r>
      <w:r w:rsidR="00F44CE7">
        <w:rPr>
          <w:rFonts w:asciiTheme="minorHAnsi" w:eastAsiaTheme="minorHAnsi" w:hAnsiTheme="minorHAnsi" w:cstheme="minorBidi"/>
          <w:sz w:val="22"/>
          <w:szCs w:val="22"/>
          <w:lang w:val="en-US"/>
        </w:rPr>
        <w:t xml:space="preserve">a </w:t>
      </w:r>
      <w:r w:rsidR="00E456E0">
        <w:rPr>
          <w:rFonts w:asciiTheme="minorHAnsi" w:eastAsiaTheme="minorHAnsi" w:hAnsiTheme="minorHAnsi" w:cstheme="minorBidi"/>
          <w:sz w:val="22"/>
          <w:szCs w:val="22"/>
          <w:lang w:val="en-US"/>
        </w:rPr>
        <w:t xml:space="preserve">narrowing of the gap between tenures </w:t>
      </w:r>
      <w:r w:rsidR="00F44CE7">
        <w:rPr>
          <w:rFonts w:asciiTheme="minorHAnsi" w:eastAsiaTheme="minorHAnsi" w:hAnsiTheme="minorHAnsi" w:cstheme="minorBidi"/>
          <w:sz w:val="22"/>
          <w:szCs w:val="22"/>
          <w:lang w:val="en-US"/>
        </w:rPr>
        <w:t xml:space="preserve">despite a slight increase </w:t>
      </w:r>
      <w:r w:rsidR="00E456E0">
        <w:rPr>
          <w:rFonts w:asciiTheme="minorHAnsi" w:eastAsiaTheme="minorHAnsi" w:hAnsiTheme="minorHAnsi" w:cstheme="minorBidi"/>
          <w:sz w:val="22"/>
          <w:szCs w:val="22"/>
          <w:lang w:val="en-US"/>
        </w:rPr>
        <w:t xml:space="preserve">in </w:t>
      </w:r>
      <w:r w:rsidR="00F44CE7">
        <w:rPr>
          <w:rFonts w:asciiTheme="minorHAnsi" w:eastAsiaTheme="minorHAnsi" w:hAnsiTheme="minorHAnsi" w:cstheme="minorBidi"/>
          <w:sz w:val="22"/>
          <w:szCs w:val="22"/>
          <w:lang w:val="en-US"/>
        </w:rPr>
        <w:t>poverty rates</w:t>
      </w:r>
      <w:r w:rsidR="00E456E0">
        <w:rPr>
          <w:rFonts w:asciiTheme="minorHAnsi" w:eastAsiaTheme="minorHAnsi" w:hAnsiTheme="minorHAnsi" w:cstheme="minorBidi"/>
          <w:sz w:val="22"/>
          <w:szCs w:val="22"/>
          <w:lang w:val="en-US"/>
        </w:rPr>
        <w:t xml:space="preserve"> overall</w:t>
      </w:r>
      <w:r w:rsidR="00F44CE7">
        <w:rPr>
          <w:rStyle w:val="EndnoteReference"/>
        </w:rPr>
        <w:endnoteReference w:id="8"/>
      </w:r>
      <w:r w:rsidR="00E456E0">
        <w:rPr>
          <w:rFonts w:asciiTheme="minorHAnsi" w:eastAsiaTheme="minorHAnsi" w:hAnsiTheme="minorHAnsi" w:cstheme="minorBidi"/>
          <w:sz w:val="22"/>
          <w:szCs w:val="22"/>
          <w:lang w:val="en-US"/>
        </w:rPr>
        <w:t>. T</w:t>
      </w:r>
      <w:r w:rsidRPr="00193BA6">
        <w:rPr>
          <w:rFonts w:asciiTheme="minorHAnsi" w:eastAsiaTheme="minorHAnsi" w:hAnsiTheme="minorHAnsi" w:cstheme="minorBidi"/>
          <w:sz w:val="22"/>
          <w:szCs w:val="22"/>
          <w:lang w:val="en-US"/>
        </w:rPr>
        <w:t xml:space="preserve">he proportion of owners </w:t>
      </w:r>
      <w:r w:rsidR="008163CB">
        <w:rPr>
          <w:rFonts w:asciiTheme="minorHAnsi" w:eastAsiaTheme="minorHAnsi" w:hAnsiTheme="minorHAnsi" w:cstheme="minorBidi"/>
          <w:sz w:val="22"/>
          <w:szCs w:val="22"/>
          <w:lang w:val="en-US"/>
        </w:rPr>
        <w:t>in</w:t>
      </w:r>
      <w:r w:rsidRPr="00193BA6">
        <w:rPr>
          <w:rFonts w:asciiTheme="minorHAnsi" w:eastAsiaTheme="minorHAnsi" w:hAnsiTheme="minorHAnsi" w:cstheme="minorBidi"/>
          <w:sz w:val="22"/>
          <w:szCs w:val="22"/>
          <w:lang w:val="en-US"/>
        </w:rPr>
        <w:t xml:space="preserve"> poverty</w:t>
      </w:r>
      <w:r w:rsidR="008163CB">
        <w:rPr>
          <w:rFonts w:asciiTheme="minorHAnsi" w:eastAsiaTheme="minorHAnsi" w:hAnsiTheme="minorHAnsi" w:cstheme="minorBidi"/>
          <w:sz w:val="22"/>
          <w:szCs w:val="22"/>
          <w:lang w:val="en-US"/>
        </w:rPr>
        <w:t xml:space="preserve"> did </w:t>
      </w:r>
      <w:r w:rsidRPr="00193BA6">
        <w:rPr>
          <w:rFonts w:asciiTheme="minorHAnsi" w:eastAsiaTheme="minorHAnsi" w:hAnsiTheme="minorHAnsi" w:cstheme="minorBidi"/>
          <w:sz w:val="22"/>
          <w:szCs w:val="22"/>
          <w:lang w:val="en-US"/>
        </w:rPr>
        <w:t>not change</w:t>
      </w:r>
      <w:r w:rsidR="00C5520D">
        <w:rPr>
          <w:rFonts w:asciiTheme="minorHAnsi" w:eastAsiaTheme="minorHAnsi" w:hAnsiTheme="minorHAnsi" w:cstheme="minorBidi"/>
          <w:sz w:val="22"/>
          <w:szCs w:val="22"/>
          <w:lang w:val="en-US"/>
        </w:rPr>
        <w:t xml:space="preserve">, so </w:t>
      </w:r>
      <w:r w:rsidR="008163CB">
        <w:rPr>
          <w:rFonts w:asciiTheme="minorHAnsi" w:eastAsiaTheme="minorHAnsi" w:hAnsiTheme="minorHAnsi" w:cstheme="minorBidi"/>
          <w:sz w:val="22"/>
          <w:szCs w:val="22"/>
          <w:lang w:val="en-US"/>
        </w:rPr>
        <w:t xml:space="preserve">again </w:t>
      </w:r>
      <w:r w:rsidR="00702FC6">
        <w:rPr>
          <w:rFonts w:asciiTheme="minorHAnsi" w:eastAsiaTheme="minorHAnsi" w:hAnsiTheme="minorHAnsi" w:cstheme="minorBidi"/>
          <w:sz w:val="22"/>
          <w:szCs w:val="22"/>
          <w:lang w:val="en-US"/>
        </w:rPr>
        <w:t xml:space="preserve">the gap </w:t>
      </w:r>
      <w:r w:rsidR="00575C12">
        <w:rPr>
          <w:rFonts w:asciiTheme="minorHAnsi" w:eastAsiaTheme="minorHAnsi" w:hAnsiTheme="minorHAnsi" w:cstheme="minorBidi"/>
          <w:sz w:val="22"/>
          <w:szCs w:val="22"/>
          <w:lang w:val="en-US"/>
        </w:rPr>
        <w:t>between the tenures</w:t>
      </w:r>
      <w:r w:rsidR="00702FC6">
        <w:rPr>
          <w:rFonts w:asciiTheme="minorHAnsi" w:eastAsiaTheme="minorHAnsi" w:hAnsiTheme="minorHAnsi" w:cstheme="minorBidi"/>
          <w:sz w:val="22"/>
          <w:szCs w:val="22"/>
          <w:lang w:val="en-US"/>
        </w:rPr>
        <w:t xml:space="preserve"> reduced</w:t>
      </w:r>
      <w:r w:rsidRPr="00193BA6">
        <w:rPr>
          <w:rFonts w:asciiTheme="minorHAnsi" w:eastAsiaTheme="minorHAnsi" w:hAnsiTheme="minorHAnsi" w:cstheme="minorBidi"/>
          <w:sz w:val="22"/>
          <w:szCs w:val="22"/>
          <w:lang w:val="en-US"/>
        </w:rPr>
        <w:t xml:space="preserve">. </w:t>
      </w:r>
      <w:r w:rsidR="008163CB">
        <w:rPr>
          <w:rFonts w:asciiTheme="minorHAnsi" w:eastAsiaTheme="minorHAnsi" w:hAnsiTheme="minorHAnsi" w:cstheme="minorBidi"/>
          <w:sz w:val="22"/>
          <w:szCs w:val="22"/>
          <w:lang w:val="en-US"/>
        </w:rPr>
        <w:t>Similarly, i</w:t>
      </w:r>
      <w:r w:rsidR="00C66511">
        <w:rPr>
          <w:rFonts w:asciiTheme="minorHAnsi" w:eastAsiaTheme="minorHAnsi" w:hAnsiTheme="minorHAnsi" w:cstheme="minorBidi"/>
          <w:sz w:val="22"/>
          <w:szCs w:val="22"/>
          <w:lang w:val="en-US"/>
        </w:rPr>
        <w:t xml:space="preserve">n the </w:t>
      </w:r>
      <w:r w:rsidR="00172B1B">
        <w:rPr>
          <w:rFonts w:asciiTheme="minorHAnsi" w:eastAsiaTheme="minorHAnsi" w:hAnsiTheme="minorHAnsi" w:cstheme="minorBidi"/>
          <w:sz w:val="22"/>
          <w:szCs w:val="22"/>
          <w:lang w:val="en-US"/>
        </w:rPr>
        <w:t xml:space="preserve">early 2000s, </w:t>
      </w:r>
      <w:r w:rsidR="00C66511">
        <w:rPr>
          <w:rFonts w:asciiTheme="minorHAnsi" w:eastAsiaTheme="minorHAnsi" w:hAnsiTheme="minorHAnsi" w:cstheme="minorBidi"/>
          <w:sz w:val="22"/>
          <w:szCs w:val="22"/>
          <w:lang w:val="en-US"/>
        </w:rPr>
        <w:t>social</w:t>
      </w:r>
      <w:r w:rsidR="00A1715E" w:rsidRPr="00C30D8B">
        <w:rPr>
          <w:rFonts w:asciiTheme="minorHAnsi" w:eastAsiaTheme="minorHAnsi" w:hAnsiTheme="minorHAnsi" w:cstheme="minorBidi"/>
          <w:sz w:val="22"/>
          <w:szCs w:val="22"/>
          <w:lang w:val="en-US"/>
        </w:rPr>
        <w:t xml:space="preserve"> housing</w:t>
      </w:r>
      <w:r w:rsidR="00560276">
        <w:rPr>
          <w:rFonts w:asciiTheme="minorHAnsi" w:eastAsiaTheme="minorHAnsi" w:hAnsiTheme="minorHAnsi" w:cstheme="minorBidi"/>
          <w:sz w:val="22"/>
          <w:szCs w:val="22"/>
          <w:lang w:val="en-US"/>
        </w:rPr>
        <w:t xml:space="preserve"> tenants’</w:t>
      </w:r>
      <w:r w:rsidR="00A1715E" w:rsidRPr="00C30D8B">
        <w:rPr>
          <w:rFonts w:asciiTheme="minorHAnsi" w:eastAsiaTheme="minorHAnsi" w:hAnsiTheme="minorHAnsi" w:cstheme="minorBidi"/>
          <w:sz w:val="22"/>
          <w:szCs w:val="22"/>
          <w:lang w:val="en-US"/>
        </w:rPr>
        <w:t xml:space="preserve"> </w:t>
      </w:r>
      <w:r w:rsidR="00560276" w:rsidRPr="00C30D8B">
        <w:rPr>
          <w:rFonts w:asciiTheme="minorHAnsi" w:eastAsiaTheme="minorHAnsi" w:hAnsiTheme="minorHAnsi" w:cstheme="minorBidi"/>
          <w:sz w:val="22"/>
          <w:szCs w:val="22"/>
          <w:lang w:val="en-US"/>
        </w:rPr>
        <w:t>economic</w:t>
      </w:r>
      <w:r w:rsidR="00A1715E" w:rsidRPr="00C30D8B">
        <w:rPr>
          <w:rFonts w:asciiTheme="minorHAnsi" w:eastAsiaTheme="minorHAnsi" w:hAnsiTheme="minorHAnsi" w:cstheme="minorBidi"/>
          <w:sz w:val="22"/>
          <w:szCs w:val="22"/>
          <w:lang w:val="en-US"/>
        </w:rPr>
        <w:t xml:space="preserve"> activity and employment rates</w:t>
      </w:r>
      <w:r w:rsidR="00560276">
        <w:rPr>
          <w:rFonts w:asciiTheme="minorHAnsi" w:eastAsiaTheme="minorHAnsi" w:hAnsiTheme="minorHAnsi" w:cstheme="minorBidi"/>
          <w:sz w:val="22"/>
          <w:szCs w:val="22"/>
          <w:lang w:val="en-US"/>
        </w:rPr>
        <w:t xml:space="preserve"> </w:t>
      </w:r>
      <w:r w:rsidR="00AC74E9">
        <w:rPr>
          <w:rFonts w:asciiTheme="minorHAnsi" w:eastAsiaTheme="minorHAnsi" w:hAnsiTheme="minorHAnsi" w:cstheme="minorBidi"/>
          <w:sz w:val="22"/>
          <w:szCs w:val="22"/>
          <w:lang w:val="en-US"/>
        </w:rPr>
        <w:t>stabilized</w:t>
      </w:r>
      <w:r w:rsidR="00172B1B">
        <w:rPr>
          <w:rFonts w:asciiTheme="minorHAnsi" w:eastAsiaTheme="minorHAnsi" w:hAnsiTheme="minorHAnsi" w:cstheme="minorBidi"/>
          <w:sz w:val="22"/>
          <w:szCs w:val="22"/>
          <w:lang w:val="en-US"/>
        </w:rPr>
        <w:t xml:space="preserve">, and then started to </w:t>
      </w:r>
      <w:proofErr w:type="gramStart"/>
      <w:r w:rsidR="00172B1B">
        <w:rPr>
          <w:rFonts w:asciiTheme="minorHAnsi" w:eastAsiaTheme="minorHAnsi" w:hAnsiTheme="minorHAnsi" w:cstheme="minorBidi"/>
          <w:sz w:val="22"/>
          <w:szCs w:val="22"/>
          <w:lang w:val="en-US"/>
        </w:rPr>
        <w:t>c</w:t>
      </w:r>
      <w:r w:rsidR="00560276">
        <w:rPr>
          <w:rFonts w:asciiTheme="minorHAnsi" w:eastAsiaTheme="minorHAnsi" w:hAnsiTheme="minorHAnsi" w:cstheme="minorBidi"/>
          <w:sz w:val="22"/>
          <w:szCs w:val="22"/>
          <w:lang w:val="en-US"/>
        </w:rPr>
        <w:t>onv</w:t>
      </w:r>
      <w:r w:rsidR="00C66511">
        <w:rPr>
          <w:rFonts w:asciiTheme="minorHAnsi" w:eastAsiaTheme="minorHAnsi" w:hAnsiTheme="minorHAnsi" w:cstheme="minorBidi"/>
          <w:sz w:val="22"/>
          <w:szCs w:val="22"/>
          <w:lang w:val="en-US"/>
        </w:rPr>
        <w:t>erg</w:t>
      </w:r>
      <w:r w:rsidR="00BD55F7">
        <w:rPr>
          <w:rFonts w:asciiTheme="minorHAnsi" w:eastAsiaTheme="minorHAnsi" w:hAnsiTheme="minorHAnsi" w:cstheme="minorBidi"/>
          <w:sz w:val="22"/>
          <w:szCs w:val="22"/>
          <w:lang w:val="en-US"/>
        </w:rPr>
        <w:t>ing</w:t>
      </w:r>
      <w:proofErr w:type="gramEnd"/>
      <w:r w:rsidR="00C66511">
        <w:rPr>
          <w:rFonts w:asciiTheme="minorHAnsi" w:eastAsiaTheme="minorHAnsi" w:hAnsiTheme="minorHAnsi" w:cstheme="minorBidi"/>
          <w:sz w:val="22"/>
          <w:szCs w:val="22"/>
          <w:lang w:val="en-US"/>
        </w:rPr>
        <w:t xml:space="preserve"> with the average (Figure 3</w:t>
      </w:r>
      <w:r w:rsidR="00560276">
        <w:rPr>
          <w:rFonts w:asciiTheme="minorHAnsi" w:eastAsiaTheme="minorHAnsi" w:hAnsiTheme="minorHAnsi" w:cstheme="minorBidi"/>
          <w:sz w:val="22"/>
          <w:szCs w:val="22"/>
          <w:lang w:val="en-US"/>
        </w:rPr>
        <w:t>).</w:t>
      </w:r>
      <w:r w:rsidR="00A1715E" w:rsidRPr="00C30D8B">
        <w:rPr>
          <w:rFonts w:asciiTheme="minorHAnsi" w:eastAsiaTheme="minorHAnsi" w:hAnsiTheme="minorHAnsi" w:cstheme="minorBidi"/>
          <w:sz w:val="22"/>
          <w:szCs w:val="22"/>
          <w:lang w:val="en-US"/>
        </w:rPr>
        <w:t xml:space="preserve"> </w:t>
      </w:r>
    </w:p>
    <w:p w:rsidR="00A1715E" w:rsidRDefault="00A1715E" w:rsidP="0005343A">
      <w:pPr>
        <w:spacing w:before="0" w:after="200" w:line="276" w:lineRule="auto"/>
        <w:rPr>
          <w:rFonts w:asciiTheme="minorHAnsi" w:eastAsiaTheme="minorHAnsi" w:hAnsiTheme="minorHAnsi" w:cstheme="minorBidi"/>
          <w:sz w:val="22"/>
          <w:szCs w:val="22"/>
          <w:lang w:val="en-US"/>
        </w:rPr>
      </w:pPr>
      <w:r w:rsidRPr="00C30D8B">
        <w:rPr>
          <w:rFonts w:asciiTheme="minorHAnsi" w:eastAsiaTheme="minorHAnsi" w:hAnsiTheme="minorHAnsi" w:cstheme="minorBidi"/>
          <w:sz w:val="22"/>
          <w:szCs w:val="22"/>
          <w:lang w:val="en-US"/>
        </w:rPr>
        <w:t>Figure</w:t>
      </w:r>
      <w:r w:rsidR="00C66511">
        <w:rPr>
          <w:rFonts w:asciiTheme="minorHAnsi" w:eastAsiaTheme="minorHAnsi" w:hAnsiTheme="minorHAnsi" w:cstheme="minorBidi"/>
          <w:sz w:val="22"/>
          <w:szCs w:val="22"/>
          <w:lang w:val="en-US"/>
        </w:rPr>
        <w:t xml:space="preserve"> 3</w:t>
      </w:r>
      <w:r w:rsidRPr="00C30D8B">
        <w:rPr>
          <w:rFonts w:asciiTheme="minorHAnsi" w:eastAsiaTheme="minorHAnsi" w:hAnsiTheme="minorHAnsi" w:cstheme="minorBidi"/>
          <w:sz w:val="22"/>
          <w:szCs w:val="22"/>
          <w:lang w:val="en-US"/>
        </w:rPr>
        <w:t>: E</w:t>
      </w:r>
      <w:r w:rsidR="00560276">
        <w:rPr>
          <w:rFonts w:asciiTheme="minorHAnsi" w:eastAsiaTheme="minorHAnsi" w:hAnsiTheme="minorHAnsi" w:cstheme="minorBidi"/>
          <w:sz w:val="22"/>
          <w:szCs w:val="22"/>
          <w:lang w:val="en-US"/>
        </w:rPr>
        <w:t xml:space="preserve">conomic </w:t>
      </w:r>
      <w:r w:rsidR="00AD6725">
        <w:rPr>
          <w:rFonts w:asciiTheme="minorHAnsi" w:eastAsiaTheme="minorHAnsi" w:hAnsiTheme="minorHAnsi" w:cstheme="minorBidi"/>
          <w:sz w:val="22"/>
          <w:szCs w:val="22"/>
          <w:lang w:val="en-US"/>
        </w:rPr>
        <w:t>status rates</w:t>
      </w:r>
      <w:r w:rsidR="00560276">
        <w:rPr>
          <w:rFonts w:asciiTheme="minorHAnsi" w:eastAsiaTheme="minorHAnsi" w:hAnsiTheme="minorHAnsi" w:cstheme="minorBidi"/>
          <w:sz w:val="22"/>
          <w:szCs w:val="22"/>
          <w:lang w:val="en-US"/>
        </w:rPr>
        <w:t xml:space="preserve"> </w:t>
      </w:r>
      <w:r w:rsidRPr="00C30D8B">
        <w:rPr>
          <w:rFonts w:asciiTheme="minorHAnsi" w:eastAsiaTheme="minorHAnsi" w:hAnsiTheme="minorHAnsi" w:cstheme="minorBidi"/>
          <w:sz w:val="22"/>
          <w:szCs w:val="22"/>
          <w:lang w:val="en-US"/>
        </w:rPr>
        <w:t>for HRPs in social housing relative to HRPs overall, 1984-2016/17</w:t>
      </w:r>
    </w:p>
    <w:p w:rsidR="0005343A" w:rsidRPr="00C30D8B" w:rsidRDefault="0005343A" w:rsidP="0005343A">
      <w:pPr>
        <w:spacing w:before="0" w:after="200" w:line="276" w:lineRule="auto"/>
        <w:rPr>
          <w:rFonts w:ascii="Calibri" w:hAnsi="Calibri"/>
          <w:color w:val="000000"/>
          <w:sz w:val="22"/>
          <w:szCs w:val="22"/>
          <w:lang w:val="en-US"/>
        </w:rPr>
      </w:pPr>
      <w:r>
        <w:rPr>
          <w:noProof/>
          <w:lang w:val="en-US"/>
        </w:rPr>
        <w:drawing>
          <wp:inline distT="0" distB="0" distL="0" distR="0" wp14:anchorId="62B30C20" wp14:editId="33C62943">
            <wp:extent cx="4133088" cy="2545689"/>
            <wp:effectExtent l="0" t="0" r="2032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26A" w:rsidRDefault="00A1715E" w:rsidP="00560276">
      <w:pPr>
        <w:spacing w:before="0" w:after="200" w:line="276" w:lineRule="auto"/>
        <w:rPr>
          <w:rFonts w:asciiTheme="minorHAnsi" w:eastAsiaTheme="minorHAnsi" w:hAnsiTheme="minorHAnsi" w:cstheme="minorBidi"/>
          <w:sz w:val="22"/>
          <w:szCs w:val="22"/>
          <w:lang w:val="en-US"/>
        </w:rPr>
      </w:pPr>
      <w:r w:rsidRPr="00C30D8B">
        <w:rPr>
          <w:rFonts w:ascii="Calibri" w:hAnsi="Calibri"/>
          <w:color w:val="000000"/>
          <w:sz w:val="22"/>
          <w:szCs w:val="22"/>
          <w:lang w:val="en-US"/>
        </w:rPr>
        <w:t xml:space="preserve">Sources: </w:t>
      </w:r>
      <w:r w:rsidR="00172B1B">
        <w:rPr>
          <w:rFonts w:ascii="Calibri" w:hAnsi="Calibri"/>
          <w:color w:val="000000"/>
          <w:sz w:val="22"/>
          <w:szCs w:val="22"/>
          <w:lang w:val="en-US"/>
        </w:rPr>
        <w:t>As Figure 2</w:t>
      </w:r>
    </w:p>
    <w:p w:rsidR="000C2183" w:rsidRDefault="008163CB" w:rsidP="000C2183">
      <w:pPr>
        <w:spacing w:before="0" w:after="0"/>
        <w:rPr>
          <w:rFonts w:ascii="Calibri" w:hAnsi="Calibri"/>
          <w:color w:val="000000"/>
          <w:sz w:val="22"/>
          <w:szCs w:val="22"/>
          <w:lang w:val="en-US"/>
        </w:rPr>
      </w:pPr>
      <w:r>
        <w:rPr>
          <w:rFonts w:ascii="Calibri" w:hAnsi="Calibri"/>
          <w:color w:val="000000"/>
          <w:sz w:val="22"/>
          <w:szCs w:val="22"/>
          <w:lang w:val="en-US"/>
        </w:rPr>
        <w:t>It has taken us a while to work out that s</w:t>
      </w:r>
      <w:r w:rsidR="007C1066">
        <w:rPr>
          <w:rFonts w:ascii="Calibri" w:hAnsi="Calibri"/>
          <w:color w:val="000000"/>
          <w:sz w:val="22"/>
          <w:szCs w:val="22"/>
          <w:lang w:val="en-US"/>
        </w:rPr>
        <w:t>ocio-</w:t>
      </w:r>
      <w:proofErr w:type="spellStart"/>
      <w:r w:rsidR="007C1066">
        <w:rPr>
          <w:rFonts w:ascii="Calibri" w:hAnsi="Calibri"/>
          <w:color w:val="000000"/>
          <w:sz w:val="22"/>
          <w:szCs w:val="22"/>
          <w:lang w:val="en-US"/>
        </w:rPr>
        <w:t>tenurial</w:t>
      </w:r>
      <w:proofErr w:type="spellEnd"/>
      <w:r w:rsidR="007C1066">
        <w:rPr>
          <w:rFonts w:ascii="Calibri" w:hAnsi="Calibri"/>
          <w:color w:val="000000"/>
          <w:sz w:val="22"/>
          <w:szCs w:val="22"/>
          <w:lang w:val="en-US"/>
        </w:rPr>
        <w:t xml:space="preserve"> </w:t>
      </w:r>
      <w:proofErr w:type="spellStart"/>
      <w:r w:rsidR="007C1066">
        <w:rPr>
          <w:rFonts w:ascii="Calibri" w:hAnsi="Calibri"/>
          <w:color w:val="000000"/>
          <w:sz w:val="22"/>
          <w:szCs w:val="22"/>
          <w:lang w:val="en-US"/>
        </w:rPr>
        <w:t>polarisation</w:t>
      </w:r>
      <w:proofErr w:type="spellEnd"/>
      <w:r w:rsidR="007C1066">
        <w:rPr>
          <w:rFonts w:ascii="Calibri" w:hAnsi="Calibri"/>
          <w:color w:val="000000"/>
          <w:sz w:val="22"/>
          <w:szCs w:val="22"/>
          <w:lang w:val="en-US"/>
        </w:rPr>
        <w:t xml:space="preserve"> </w:t>
      </w:r>
      <w:r w:rsidR="00C5520D">
        <w:rPr>
          <w:rFonts w:ascii="Calibri" w:hAnsi="Calibri"/>
          <w:color w:val="000000"/>
          <w:sz w:val="22"/>
          <w:szCs w:val="22"/>
          <w:lang w:val="en-US"/>
        </w:rPr>
        <w:t xml:space="preserve">has U-turned. </w:t>
      </w:r>
      <w:r w:rsidR="000C2183">
        <w:rPr>
          <w:rFonts w:ascii="Calibri" w:hAnsi="Calibri"/>
          <w:color w:val="000000"/>
          <w:sz w:val="22"/>
          <w:szCs w:val="22"/>
          <w:lang w:val="en-US"/>
        </w:rPr>
        <w:t>However, social renters</w:t>
      </w:r>
      <w:r w:rsidR="007C1066">
        <w:rPr>
          <w:rFonts w:ascii="Calibri" w:hAnsi="Calibri"/>
          <w:color w:val="000000"/>
          <w:sz w:val="22"/>
          <w:szCs w:val="22"/>
          <w:lang w:val="en-US"/>
        </w:rPr>
        <w:t xml:space="preserve"> as a whole remain far from ‘middling’</w:t>
      </w:r>
      <w:r w:rsidR="00C5520D">
        <w:rPr>
          <w:rFonts w:ascii="Calibri" w:hAnsi="Calibri"/>
          <w:color w:val="000000"/>
          <w:sz w:val="22"/>
          <w:szCs w:val="22"/>
          <w:lang w:val="en-US"/>
        </w:rPr>
        <w:t xml:space="preserve"> </w:t>
      </w:r>
      <w:r w:rsidR="00AD6725">
        <w:rPr>
          <w:rFonts w:ascii="Calibri" w:hAnsi="Calibri"/>
          <w:color w:val="000000"/>
          <w:sz w:val="22"/>
          <w:szCs w:val="22"/>
          <w:lang w:val="en-US"/>
        </w:rPr>
        <w:t>and</w:t>
      </w:r>
      <w:r w:rsidR="00C5520D">
        <w:rPr>
          <w:rFonts w:ascii="Calibri" w:hAnsi="Calibri"/>
          <w:color w:val="000000"/>
          <w:sz w:val="22"/>
          <w:szCs w:val="22"/>
          <w:lang w:val="en-US"/>
        </w:rPr>
        <w:t xml:space="preserve">, for </w:t>
      </w:r>
      <w:proofErr w:type="gramStart"/>
      <w:r w:rsidR="00C5520D">
        <w:rPr>
          <w:rFonts w:ascii="Calibri" w:hAnsi="Calibri"/>
          <w:color w:val="000000"/>
          <w:sz w:val="22"/>
          <w:szCs w:val="22"/>
          <w:lang w:val="en-US"/>
        </w:rPr>
        <w:t>example</w:t>
      </w:r>
      <w:r>
        <w:rPr>
          <w:rFonts w:ascii="Calibri" w:hAnsi="Calibri"/>
          <w:color w:val="000000"/>
          <w:sz w:val="22"/>
          <w:szCs w:val="22"/>
          <w:lang w:val="en-US"/>
        </w:rPr>
        <w:t>,</w:t>
      </w:r>
      <w:proofErr w:type="gramEnd"/>
      <w:r w:rsidR="00AD6725">
        <w:rPr>
          <w:rFonts w:ascii="Calibri" w:hAnsi="Calibri"/>
          <w:color w:val="000000"/>
          <w:sz w:val="22"/>
          <w:szCs w:val="22"/>
          <w:lang w:val="en-US"/>
        </w:rPr>
        <w:t xml:space="preserve"> </w:t>
      </w:r>
      <w:r w:rsidR="00511F36">
        <w:rPr>
          <w:rFonts w:ascii="Calibri" w:hAnsi="Calibri"/>
          <w:color w:val="000000"/>
          <w:sz w:val="22"/>
          <w:szCs w:val="22"/>
          <w:lang w:val="en-US"/>
        </w:rPr>
        <w:t xml:space="preserve">the tenure </w:t>
      </w:r>
      <w:r w:rsidR="00AD6725">
        <w:rPr>
          <w:rFonts w:ascii="Calibri" w:hAnsi="Calibri"/>
          <w:color w:val="000000"/>
          <w:sz w:val="22"/>
          <w:szCs w:val="22"/>
          <w:lang w:val="en-US"/>
        </w:rPr>
        <w:t xml:space="preserve">still has the greatest </w:t>
      </w:r>
      <w:r w:rsidR="00C5520D">
        <w:rPr>
          <w:rFonts w:ascii="Calibri" w:hAnsi="Calibri"/>
          <w:color w:val="000000"/>
          <w:sz w:val="22"/>
          <w:szCs w:val="22"/>
          <w:lang w:val="en-US"/>
        </w:rPr>
        <w:t>c</w:t>
      </w:r>
      <w:r w:rsidR="00AD6725">
        <w:rPr>
          <w:rFonts w:ascii="Calibri" w:hAnsi="Calibri"/>
          <w:color w:val="000000"/>
          <w:sz w:val="22"/>
          <w:szCs w:val="22"/>
          <w:lang w:val="en-US"/>
        </w:rPr>
        <w:t>once</w:t>
      </w:r>
      <w:r w:rsidR="00511F36">
        <w:rPr>
          <w:rFonts w:ascii="Calibri" w:hAnsi="Calibri"/>
          <w:color w:val="000000"/>
          <w:sz w:val="22"/>
          <w:szCs w:val="22"/>
          <w:lang w:val="en-US"/>
        </w:rPr>
        <w:t>n</w:t>
      </w:r>
      <w:r w:rsidR="00AD6725">
        <w:rPr>
          <w:rFonts w:ascii="Calibri" w:hAnsi="Calibri"/>
          <w:color w:val="000000"/>
          <w:sz w:val="22"/>
          <w:szCs w:val="22"/>
          <w:lang w:val="en-US"/>
        </w:rPr>
        <w:t>trat</w:t>
      </w:r>
      <w:r w:rsidR="00511F36">
        <w:rPr>
          <w:rFonts w:ascii="Calibri" w:hAnsi="Calibri"/>
          <w:color w:val="000000"/>
          <w:sz w:val="22"/>
          <w:szCs w:val="22"/>
          <w:lang w:val="en-US"/>
        </w:rPr>
        <w:t>i</w:t>
      </w:r>
      <w:r w:rsidR="00AD6725">
        <w:rPr>
          <w:rFonts w:ascii="Calibri" w:hAnsi="Calibri"/>
          <w:color w:val="000000"/>
          <w:sz w:val="22"/>
          <w:szCs w:val="22"/>
          <w:lang w:val="en-US"/>
        </w:rPr>
        <w:t>on of people living in poverty</w:t>
      </w:r>
      <w:r>
        <w:rPr>
          <w:rFonts w:ascii="Calibri" w:hAnsi="Calibri"/>
          <w:color w:val="000000"/>
          <w:sz w:val="22"/>
          <w:szCs w:val="22"/>
          <w:lang w:val="en-US"/>
        </w:rPr>
        <w:t>,</w:t>
      </w:r>
      <w:r w:rsidR="00C5520D">
        <w:rPr>
          <w:rFonts w:ascii="Calibri" w:hAnsi="Calibri"/>
          <w:color w:val="000000"/>
          <w:sz w:val="22"/>
          <w:szCs w:val="22"/>
          <w:lang w:val="en-US"/>
        </w:rPr>
        <w:t xml:space="preserve"> at 44% of </w:t>
      </w:r>
      <w:r>
        <w:rPr>
          <w:rFonts w:ascii="Calibri" w:hAnsi="Calibri"/>
          <w:color w:val="000000"/>
          <w:sz w:val="22"/>
          <w:szCs w:val="22"/>
          <w:lang w:val="en-US"/>
        </w:rPr>
        <w:t>residents</w:t>
      </w:r>
      <w:r w:rsidR="00C5520D">
        <w:rPr>
          <w:rFonts w:ascii="Calibri" w:hAnsi="Calibri"/>
          <w:color w:val="000000"/>
          <w:sz w:val="22"/>
          <w:szCs w:val="22"/>
          <w:lang w:val="en-US"/>
        </w:rPr>
        <w:t xml:space="preserve"> in 2015/16</w:t>
      </w:r>
      <w:r w:rsidR="00511F36">
        <w:rPr>
          <w:rFonts w:ascii="Calibri" w:hAnsi="Calibri"/>
          <w:color w:val="000000"/>
          <w:sz w:val="22"/>
          <w:szCs w:val="22"/>
          <w:lang w:val="en-US"/>
        </w:rPr>
        <w:t>. I</w:t>
      </w:r>
      <w:r w:rsidR="00AD6725">
        <w:rPr>
          <w:rFonts w:ascii="Calibri" w:hAnsi="Calibri"/>
          <w:color w:val="000000"/>
          <w:sz w:val="22"/>
          <w:szCs w:val="22"/>
          <w:lang w:val="en-US"/>
        </w:rPr>
        <w:t xml:space="preserve">t is scarcely a comfort to social tenants, social landlords or anyone else to know that each of the three main tenures accommodate </w:t>
      </w:r>
      <w:r w:rsidR="007C1066">
        <w:rPr>
          <w:rFonts w:ascii="Calibri" w:hAnsi="Calibri"/>
          <w:color w:val="000000"/>
          <w:sz w:val="22"/>
          <w:szCs w:val="22"/>
          <w:lang w:val="en-US"/>
        </w:rPr>
        <w:t xml:space="preserve">exactly a </w:t>
      </w:r>
      <w:r w:rsidR="00AD6725">
        <w:rPr>
          <w:rFonts w:ascii="Calibri" w:hAnsi="Calibri"/>
          <w:color w:val="000000"/>
          <w:sz w:val="22"/>
          <w:szCs w:val="22"/>
          <w:lang w:val="en-US"/>
        </w:rPr>
        <w:t>third of all poor people</w:t>
      </w:r>
      <w:r w:rsidR="007C1066">
        <w:rPr>
          <w:rStyle w:val="EndnoteReference"/>
          <w:rFonts w:ascii="Calibri" w:hAnsi="Calibri"/>
          <w:color w:val="000000"/>
          <w:sz w:val="22"/>
          <w:szCs w:val="22"/>
          <w:lang w:val="en-US"/>
        </w:rPr>
        <w:endnoteReference w:id="9"/>
      </w:r>
      <w:r w:rsidR="00AD6725">
        <w:rPr>
          <w:rFonts w:ascii="Calibri" w:hAnsi="Calibri"/>
          <w:color w:val="000000"/>
          <w:sz w:val="22"/>
          <w:szCs w:val="22"/>
          <w:lang w:val="en-US"/>
        </w:rPr>
        <w:t xml:space="preserve">. </w:t>
      </w:r>
      <w:r w:rsidR="007C1066">
        <w:rPr>
          <w:rFonts w:ascii="Calibri" w:hAnsi="Calibri"/>
          <w:color w:val="000000"/>
          <w:sz w:val="22"/>
          <w:szCs w:val="22"/>
          <w:lang w:val="en-US"/>
        </w:rPr>
        <w:t>In addition, v</w:t>
      </w:r>
      <w:r w:rsidR="00DE338D">
        <w:rPr>
          <w:rFonts w:ascii="Calibri" w:hAnsi="Calibri"/>
          <w:color w:val="000000"/>
          <w:sz w:val="22"/>
          <w:szCs w:val="22"/>
          <w:lang w:val="en-US"/>
        </w:rPr>
        <w:t>ery little ‘classic’ secure low rent social housing is being built</w:t>
      </w:r>
      <w:r w:rsidR="007C1066">
        <w:rPr>
          <w:rFonts w:ascii="Calibri" w:hAnsi="Calibri"/>
          <w:color w:val="000000"/>
          <w:sz w:val="22"/>
          <w:szCs w:val="22"/>
          <w:lang w:val="en-US"/>
        </w:rPr>
        <w:t>, t</w:t>
      </w:r>
      <w:r w:rsidR="00DE338D">
        <w:rPr>
          <w:rFonts w:ascii="Calibri" w:hAnsi="Calibri"/>
          <w:color w:val="000000"/>
          <w:sz w:val="22"/>
          <w:szCs w:val="22"/>
          <w:lang w:val="en-US"/>
        </w:rPr>
        <w:t>he reinvigorate</w:t>
      </w:r>
      <w:r w:rsidR="007C1066">
        <w:rPr>
          <w:rFonts w:ascii="Calibri" w:hAnsi="Calibri"/>
          <w:color w:val="000000"/>
          <w:sz w:val="22"/>
          <w:szCs w:val="22"/>
          <w:lang w:val="en-US"/>
        </w:rPr>
        <w:t>d</w:t>
      </w:r>
      <w:r w:rsidR="00DE338D">
        <w:rPr>
          <w:rFonts w:ascii="Calibri" w:hAnsi="Calibri"/>
          <w:color w:val="000000"/>
          <w:sz w:val="22"/>
          <w:szCs w:val="22"/>
          <w:lang w:val="en-US"/>
        </w:rPr>
        <w:t xml:space="preserve"> Right to Buy has accelerated sales</w:t>
      </w:r>
      <w:r w:rsidR="007C1066">
        <w:rPr>
          <w:rFonts w:ascii="Calibri" w:hAnsi="Calibri"/>
          <w:color w:val="000000"/>
          <w:sz w:val="22"/>
          <w:szCs w:val="22"/>
          <w:lang w:val="en-US"/>
        </w:rPr>
        <w:t>, and t</w:t>
      </w:r>
      <w:r w:rsidR="00AD6725">
        <w:rPr>
          <w:rFonts w:ascii="Calibri" w:hAnsi="Calibri"/>
          <w:color w:val="000000"/>
          <w:sz w:val="22"/>
          <w:szCs w:val="22"/>
          <w:lang w:val="en-US"/>
        </w:rPr>
        <w:t>he very latest data in Figures 2 and 3 might suggest something</w:t>
      </w:r>
      <w:r w:rsidR="007C1066">
        <w:rPr>
          <w:rFonts w:ascii="Calibri" w:hAnsi="Calibri"/>
          <w:color w:val="000000"/>
          <w:sz w:val="22"/>
          <w:szCs w:val="22"/>
          <w:lang w:val="en-US"/>
        </w:rPr>
        <w:t>…</w:t>
      </w:r>
      <w:r w:rsidR="00AD6725">
        <w:rPr>
          <w:rFonts w:ascii="Calibri" w:hAnsi="Calibri"/>
          <w:color w:val="000000"/>
          <w:sz w:val="22"/>
          <w:szCs w:val="22"/>
          <w:lang w:val="en-US"/>
        </w:rPr>
        <w:t xml:space="preserve"> </w:t>
      </w:r>
      <w:r w:rsidR="00DE338D">
        <w:rPr>
          <w:rFonts w:ascii="Calibri" w:hAnsi="Calibri"/>
          <w:color w:val="000000"/>
          <w:sz w:val="22"/>
          <w:szCs w:val="22"/>
          <w:lang w:val="en-US"/>
        </w:rPr>
        <w:t>T</w:t>
      </w:r>
      <w:r w:rsidR="00DE338D">
        <w:rPr>
          <w:rFonts w:ascii="Calibri" w:hAnsi="Calibri"/>
          <w:color w:val="000000"/>
          <w:sz w:val="22"/>
          <w:szCs w:val="22"/>
          <w:lang w:val="en-US"/>
        </w:rPr>
        <w:t xml:space="preserve">he next U-turn maybe just round the corner, </w:t>
      </w:r>
      <w:r w:rsidR="00DE338D">
        <w:rPr>
          <w:rFonts w:ascii="Calibri" w:hAnsi="Calibri"/>
          <w:color w:val="000000"/>
          <w:sz w:val="22"/>
          <w:szCs w:val="22"/>
          <w:lang w:val="en-US"/>
        </w:rPr>
        <w:t xml:space="preserve">even as we </w:t>
      </w:r>
      <w:proofErr w:type="spellStart"/>
      <w:r w:rsidR="00DE338D">
        <w:rPr>
          <w:rFonts w:ascii="Calibri" w:hAnsi="Calibri"/>
          <w:color w:val="000000"/>
          <w:sz w:val="22"/>
          <w:szCs w:val="22"/>
          <w:lang w:val="en-US"/>
        </w:rPr>
        <w:t>recognise</w:t>
      </w:r>
      <w:proofErr w:type="spellEnd"/>
      <w:r w:rsidR="00DE338D">
        <w:rPr>
          <w:rFonts w:ascii="Calibri" w:hAnsi="Calibri"/>
          <w:color w:val="000000"/>
          <w:sz w:val="22"/>
          <w:szCs w:val="22"/>
          <w:lang w:val="en-US"/>
        </w:rPr>
        <w:t xml:space="preserve"> the last</w:t>
      </w:r>
      <w:r w:rsidR="00AD6725">
        <w:rPr>
          <w:rFonts w:ascii="Calibri" w:hAnsi="Calibri"/>
          <w:color w:val="000000"/>
          <w:sz w:val="22"/>
          <w:szCs w:val="22"/>
          <w:lang w:val="en-US"/>
        </w:rPr>
        <w:t>.</w:t>
      </w:r>
    </w:p>
    <w:p w:rsidR="000C2183" w:rsidRDefault="000C2183" w:rsidP="000C2183">
      <w:pPr>
        <w:spacing w:before="0" w:after="0"/>
        <w:rPr>
          <w:rFonts w:ascii="Calibri" w:hAnsi="Calibri"/>
          <w:color w:val="000000"/>
          <w:sz w:val="22"/>
          <w:szCs w:val="22"/>
          <w:lang w:val="en-US"/>
        </w:rPr>
      </w:pPr>
    </w:p>
    <w:p w:rsidR="005B5073" w:rsidRDefault="00E879F6"/>
    <w:sectPr w:rsidR="005B50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F6" w:rsidRDefault="00E879F6" w:rsidP="00796DFD">
      <w:pPr>
        <w:spacing w:before="0" w:after="0"/>
      </w:pPr>
      <w:r>
        <w:separator/>
      </w:r>
    </w:p>
  </w:endnote>
  <w:endnote w:type="continuationSeparator" w:id="0">
    <w:p w:rsidR="00E879F6" w:rsidRDefault="00E879F6" w:rsidP="00796DFD">
      <w:pPr>
        <w:spacing w:before="0" w:after="0"/>
      </w:pPr>
      <w:r>
        <w:continuationSeparator/>
      </w:r>
    </w:p>
  </w:endnote>
  <w:endnote w:id="1">
    <w:p w:rsidR="00193BA6" w:rsidRPr="0039026A" w:rsidRDefault="00193BA6" w:rsidP="00E552BC">
      <w:pPr>
        <w:spacing w:before="0" w:after="0"/>
        <w:rPr>
          <w:rFonts w:asciiTheme="minorHAnsi" w:hAnsiTheme="minorHAnsi" w:cs="Microsoft Sans Serif"/>
          <w:color w:val="000000"/>
          <w:sz w:val="20"/>
          <w:szCs w:val="20"/>
          <w:lang w:val="en-US"/>
        </w:rPr>
      </w:pPr>
      <w:r>
        <w:rPr>
          <w:rStyle w:val="EndnoteReference"/>
        </w:rPr>
        <w:endnoteRef/>
      </w:r>
      <w:r>
        <w:t xml:space="preserve"> </w:t>
      </w:r>
      <w:r w:rsidR="006A771E" w:rsidRPr="0039026A">
        <w:rPr>
          <w:rFonts w:asciiTheme="minorHAnsi" w:hAnsiTheme="minorHAnsi" w:cs="Microsoft Sans Serif"/>
          <w:color w:val="000000"/>
          <w:sz w:val="20"/>
          <w:szCs w:val="20"/>
        </w:rPr>
        <w:t xml:space="preserve">Bentham, G (1986) </w:t>
      </w:r>
      <w:r w:rsidR="006A771E" w:rsidRPr="0039026A">
        <w:rPr>
          <w:rFonts w:asciiTheme="minorHAnsi" w:hAnsiTheme="minorHAnsi" w:cs="Microsoft Sans Serif"/>
          <w:color w:val="000000"/>
          <w:sz w:val="20"/>
          <w:szCs w:val="20"/>
        </w:rPr>
        <w:t>‘</w:t>
      </w:r>
      <w:r w:rsidR="006A771E" w:rsidRPr="0039026A">
        <w:rPr>
          <w:rFonts w:asciiTheme="minorHAnsi" w:hAnsiTheme="minorHAnsi" w:cs="Microsoft Sans Serif"/>
          <w:color w:val="000000"/>
          <w:sz w:val="20"/>
          <w:szCs w:val="20"/>
        </w:rPr>
        <w:t>Socio-</w:t>
      </w:r>
      <w:proofErr w:type="spellStart"/>
      <w:r w:rsidR="006A771E" w:rsidRPr="0039026A">
        <w:rPr>
          <w:rFonts w:asciiTheme="minorHAnsi" w:hAnsiTheme="minorHAnsi" w:cs="Microsoft Sans Serif"/>
          <w:color w:val="000000"/>
          <w:sz w:val="20"/>
          <w:szCs w:val="20"/>
        </w:rPr>
        <w:t>tenurial</w:t>
      </w:r>
      <w:proofErr w:type="spellEnd"/>
      <w:r w:rsidR="006A771E" w:rsidRPr="0039026A">
        <w:rPr>
          <w:rFonts w:asciiTheme="minorHAnsi" w:hAnsiTheme="minorHAnsi" w:cs="Microsoft Sans Serif"/>
          <w:color w:val="000000"/>
          <w:sz w:val="20"/>
          <w:szCs w:val="20"/>
        </w:rPr>
        <w:t xml:space="preserve"> polarisation in England, 1953-83: The income evidence</w:t>
      </w:r>
      <w:r w:rsidR="006A771E" w:rsidRPr="0039026A">
        <w:rPr>
          <w:rFonts w:asciiTheme="minorHAnsi" w:hAnsiTheme="minorHAnsi" w:cs="Microsoft Sans Serif"/>
          <w:color w:val="000000"/>
          <w:sz w:val="20"/>
          <w:szCs w:val="20"/>
        </w:rPr>
        <w:t>’</w:t>
      </w:r>
      <w:r w:rsidR="006A771E" w:rsidRPr="0039026A">
        <w:rPr>
          <w:rFonts w:asciiTheme="minorHAnsi" w:hAnsiTheme="minorHAnsi" w:cs="Microsoft Sans Serif"/>
          <w:color w:val="000000"/>
          <w:sz w:val="20"/>
          <w:szCs w:val="20"/>
        </w:rPr>
        <w:t xml:space="preserve"> </w:t>
      </w:r>
      <w:r w:rsidR="006A771E" w:rsidRPr="0039026A">
        <w:rPr>
          <w:rFonts w:asciiTheme="minorHAnsi" w:hAnsiTheme="minorHAnsi" w:cs="Microsoft Sans Serif"/>
          <w:i/>
          <w:iCs/>
          <w:color w:val="000000"/>
          <w:sz w:val="20"/>
          <w:szCs w:val="20"/>
        </w:rPr>
        <w:t>Urban Studies</w:t>
      </w:r>
      <w:r w:rsidR="006A771E" w:rsidRPr="0039026A">
        <w:rPr>
          <w:rFonts w:asciiTheme="minorHAnsi" w:hAnsiTheme="minorHAnsi" w:cs="Microsoft Sans Serif"/>
          <w:color w:val="000000"/>
          <w:sz w:val="20"/>
          <w:szCs w:val="20"/>
        </w:rPr>
        <w:t xml:space="preserve"> 23(2)</w:t>
      </w:r>
      <w:r w:rsidR="007C1066">
        <w:rPr>
          <w:rFonts w:asciiTheme="minorHAnsi" w:hAnsiTheme="minorHAnsi" w:cs="Microsoft Sans Serif"/>
          <w:color w:val="000000"/>
          <w:sz w:val="20"/>
          <w:szCs w:val="20"/>
        </w:rPr>
        <w:t xml:space="preserve"> pp</w:t>
      </w:r>
      <w:r w:rsidR="006A771E" w:rsidRPr="0039026A">
        <w:rPr>
          <w:rFonts w:asciiTheme="minorHAnsi" w:hAnsiTheme="minorHAnsi" w:cs="Microsoft Sans Serif"/>
          <w:color w:val="000000"/>
          <w:sz w:val="20"/>
          <w:szCs w:val="20"/>
        </w:rPr>
        <w:t>157-162</w:t>
      </w:r>
    </w:p>
  </w:endnote>
  <w:endnote w:id="2">
    <w:p w:rsidR="00193BA6" w:rsidRPr="0039026A" w:rsidRDefault="00193BA6" w:rsidP="00E552BC">
      <w:pPr>
        <w:spacing w:before="0"/>
        <w:rPr>
          <w:rFonts w:asciiTheme="minorHAnsi" w:hAnsiTheme="minorHAnsi"/>
          <w:sz w:val="20"/>
          <w:szCs w:val="20"/>
        </w:rPr>
      </w:pPr>
      <w:r w:rsidRPr="0039026A">
        <w:rPr>
          <w:rStyle w:val="EndnoteReference"/>
          <w:rFonts w:asciiTheme="minorHAnsi" w:hAnsiTheme="minorHAnsi"/>
          <w:sz w:val="20"/>
          <w:szCs w:val="20"/>
        </w:rPr>
        <w:endnoteRef/>
      </w:r>
      <w:r w:rsidRPr="0039026A">
        <w:rPr>
          <w:rFonts w:asciiTheme="minorHAnsi" w:hAnsiTheme="minorHAnsi"/>
          <w:sz w:val="20"/>
          <w:szCs w:val="20"/>
        </w:rPr>
        <w:t xml:space="preserve"> </w:t>
      </w:r>
      <w:r w:rsidR="006A771E" w:rsidRPr="0039026A">
        <w:rPr>
          <w:rFonts w:asciiTheme="minorHAnsi" w:eastAsiaTheme="minorHAnsi" w:hAnsiTheme="minorHAnsi" w:cstheme="minorBidi"/>
          <w:sz w:val="20"/>
          <w:szCs w:val="20"/>
          <w:lang w:val="en-US"/>
        </w:rPr>
        <w:t>Brewer, M; Muriel, A and Wr</w:t>
      </w:r>
      <w:r w:rsidR="00600A5A" w:rsidRPr="0039026A">
        <w:rPr>
          <w:rFonts w:asciiTheme="minorHAnsi" w:eastAsiaTheme="minorHAnsi" w:hAnsiTheme="minorHAnsi" w:cstheme="minorBidi"/>
          <w:sz w:val="20"/>
          <w:szCs w:val="20"/>
          <w:lang w:val="en-US"/>
        </w:rPr>
        <w:t>en-Lewis, L (2009</w:t>
      </w:r>
      <w:r w:rsidR="006A771E" w:rsidRPr="0039026A">
        <w:rPr>
          <w:rFonts w:asciiTheme="minorHAnsi" w:eastAsiaTheme="minorHAnsi" w:hAnsiTheme="minorHAnsi" w:cstheme="minorBidi"/>
          <w:sz w:val="20"/>
          <w:szCs w:val="20"/>
          <w:lang w:val="en-US"/>
        </w:rPr>
        <w:t>)</w:t>
      </w:r>
      <w:r w:rsidR="006A771E" w:rsidRPr="0039026A">
        <w:rPr>
          <w:rFonts w:asciiTheme="minorHAnsi" w:eastAsiaTheme="minorHAnsi" w:hAnsiTheme="minorHAnsi" w:cstheme="minorBidi"/>
          <w:sz w:val="20"/>
          <w:szCs w:val="20"/>
          <w:lang w:val="en-US"/>
        </w:rPr>
        <w:t xml:space="preserve"> </w:t>
      </w:r>
      <w:r w:rsidR="006A771E" w:rsidRPr="0039026A">
        <w:rPr>
          <w:rFonts w:asciiTheme="minorHAnsi" w:eastAsiaTheme="minorHAnsi" w:hAnsiTheme="minorHAnsi" w:cstheme="minorBidi"/>
          <w:i/>
          <w:sz w:val="20"/>
          <w:szCs w:val="20"/>
          <w:lang w:val="en-US"/>
        </w:rPr>
        <w:t xml:space="preserve">Accounting for changes in inequality since 1968: decomposition analyses for Great Britain </w:t>
      </w:r>
      <w:r w:rsidR="006A771E" w:rsidRPr="0039026A">
        <w:rPr>
          <w:rFonts w:asciiTheme="minorHAnsi" w:eastAsiaTheme="minorHAnsi" w:hAnsiTheme="minorHAnsi" w:cstheme="minorBidi"/>
          <w:sz w:val="20"/>
          <w:szCs w:val="20"/>
          <w:lang w:val="en-US"/>
        </w:rPr>
        <w:t>London: IFS</w:t>
      </w:r>
      <w:r w:rsidR="00E552BC" w:rsidRPr="00E552BC">
        <w:t xml:space="preserve"> </w:t>
      </w:r>
    </w:p>
  </w:endnote>
  <w:endnote w:id="3">
    <w:p w:rsidR="009A73FD" w:rsidRPr="0039026A" w:rsidRDefault="009A73FD" w:rsidP="00E552BC">
      <w:pPr>
        <w:pStyle w:val="EndnoteText"/>
      </w:pPr>
      <w:r w:rsidRPr="0039026A">
        <w:rPr>
          <w:rStyle w:val="EndnoteReference"/>
        </w:rPr>
        <w:endnoteRef/>
      </w:r>
      <w:r w:rsidR="00D52A7F">
        <w:t xml:space="preserve"> </w:t>
      </w:r>
      <w:proofErr w:type="gramStart"/>
      <w:r w:rsidR="00D52A7F">
        <w:t>Brewer et al.</w:t>
      </w:r>
      <w:proofErr w:type="gramEnd"/>
    </w:p>
  </w:endnote>
  <w:endnote w:id="4">
    <w:p w:rsidR="004217DE" w:rsidRPr="0039026A" w:rsidRDefault="004217DE" w:rsidP="00E552BC">
      <w:pPr>
        <w:pStyle w:val="EndnoteText"/>
      </w:pPr>
      <w:r w:rsidRPr="0039026A">
        <w:rPr>
          <w:rStyle w:val="EndnoteReference"/>
        </w:rPr>
        <w:endnoteRef/>
      </w:r>
      <w:r w:rsidRPr="0039026A">
        <w:t xml:space="preserve"> </w:t>
      </w:r>
      <w:r w:rsidR="00D52A7F">
        <w:t>DWP</w:t>
      </w:r>
      <w:r w:rsidR="00E552BC">
        <w:t xml:space="preserve"> Households Below Average Income statistics </w:t>
      </w:r>
      <w:r w:rsidR="00E552BC" w:rsidRPr="00E552BC">
        <w:t>www.gov.uk/government/statistics/households-below-average-income-199495-to-201516</w:t>
      </w:r>
    </w:p>
  </w:endnote>
  <w:endnote w:id="5">
    <w:p w:rsidR="00172B1B" w:rsidRPr="0039026A" w:rsidRDefault="00DC4D40" w:rsidP="00E552BC">
      <w:pPr>
        <w:spacing w:before="0"/>
        <w:rPr>
          <w:rFonts w:asciiTheme="minorHAnsi" w:hAnsiTheme="minorHAnsi"/>
          <w:sz w:val="20"/>
          <w:szCs w:val="20"/>
        </w:rPr>
      </w:pPr>
      <w:r w:rsidRPr="0039026A">
        <w:rPr>
          <w:rStyle w:val="EndnoteReference"/>
          <w:rFonts w:asciiTheme="minorHAnsi" w:hAnsiTheme="minorHAnsi"/>
          <w:sz w:val="20"/>
          <w:szCs w:val="20"/>
        </w:rPr>
        <w:endnoteRef/>
      </w:r>
      <w:r w:rsidRPr="0039026A">
        <w:rPr>
          <w:rFonts w:asciiTheme="minorHAnsi" w:hAnsiTheme="minorHAnsi"/>
          <w:sz w:val="20"/>
          <w:szCs w:val="20"/>
        </w:rPr>
        <w:t xml:space="preserve"> </w:t>
      </w:r>
      <w:r w:rsidR="007C1066" w:rsidRPr="007C1066">
        <w:rPr>
          <w:rFonts w:asciiTheme="minorHAnsi" w:hAnsiTheme="minorHAnsi"/>
          <w:sz w:val="20"/>
          <w:szCs w:val="20"/>
        </w:rPr>
        <w:t xml:space="preserve">Hills, J (2007) </w:t>
      </w:r>
      <w:r w:rsidR="007C1066" w:rsidRPr="007C1066">
        <w:rPr>
          <w:rFonts w:asciiTheme="minorHAnsi" w:hAnsiTheme="minorHAnsi"/>
          <w:i/>
          <w:sz w:val="20"/>
          <w:szCs w:val="20"/>
        </w:rPr>
        <w:t>Ends and means: The future roles of social housing in England Case report 34</w:t>
      </w:r>
      <w:r w:rsidR="007C1066" w:rsidRPr="007C1066">
        <w:rPr>
          <w:rFonts w:asciiTheme="minorHAnsi" w:hAnsiTheme="minorHAnsi"/>
          <w:sz w:val="20"/>
          <w:szCs w:val="20"/>
        </w:rPr>
        <w:t xml:space="preserve"> London: CASE, LSE</w:t>
      </w:r>
      <w:r w:rsidR="007C1066" w:rsidRPr="007C1066">
        <w:rPr>
          <w:rFonts w:asciiTheme="minorHAnsi" w:hAnsiTheme="minorHAnsi"/>
          <w:sz w:val="20"/>
          <w:szCs w:val="20"/>
        </w:rPr>
        <w:t xml:space="preserve"> p</w:t>
      </w:r>
      <w:r w:rsidR="00C476FA" w:rsidRPr="007C1066">
        <w:rPr>
          <w:rFonts w:asciiTheme="minorHAnsi" w:hAnsiTheme="minorHAnsi"/>
          <w:sz w:val="20"/>
          <w:szCs w:val="20"/>
        </w:rPr>
        <w:t>100</w:t>
      </w:r>
      <w:r w:rsidR="005321AF" w:rsidRPr="005321AF">
        <w:t xml:space="preserve"> </w:t>
      </w:r>
    </w:p>
  </w:endnote>
  <w:endnote w:id="6">
    <w:p w:rsidR="00E456E0" w:rsidRPr="0039026A" w:rsidRDefault="00E456E0" w:rsidP="00E552BC">
      <w:pPr>
        <w:pStyle w:val="EndnoteText"/>
        <w:rPr>
          <w:rFonts w:cs="Arial"/>
          <w:color w:val="444444"/>
        </w:rPr>
      </w:pPr>
      <w:r w:rsidRPr="0039026A">
        <w:rPr>
          <w:rStyle w:val="EndnoteReference"/>
        </w:rPr>
        <w:endnoteRef/>
      </w:r>
      <w:r w:rsidRPr="0039026A">
        <w:t xml:space="preserve"> </w:t>
      </w:r>
      <w:r w:rsidRPr="0039026A">
        <w:rPr>
          <w:rStyle w:val="personname2"/>
          <w:rFonts w:cs="Arial"/>
          <w:b w:val="0"/>
          <w:color w:val="000000" w:themeColor="text1"/>
        </w:rPr>
        <w:t>Pearce, J</w:t>
      </w:r>
      <w:r w:rsidRPr="0039026A">
        <w:rPr>
          <w:rFonts w:cs="Arial"/>
          <w:b/>
          <w:color w:val="000000" w:themeColor="text1"/>
        </w:rPr>
        <w:t xml:space="preserve"> </w:t>
      </w:r>
      <w:r w:rsidRPr="0039026A">
        <w:rPr>
          <w:rFonts w:cs="Arial"/>
          <w:color w:val="000000" w:themeColor="text1"/>
        </w:rPr>
        <w:t>and</w:t>
      </w:r>
      <w:r w:rsidRPr="0039026A">
        <w:rPr>
          <w:rFonts w:cs="Arial"/>
          <w:b/>
          <w:color w:val="000000" w:themeColor="text1"/>
        </w:rPr>
        <w:t xml:space="preserve"> </w:t>
      </w:r>
      <w:r w:rsidRPr="0039026A">
        <w:rPr>
          <w:rStyle w:val="personname2"/>
          <w:rFonts w:cs="Arial"/>
          <w:b w:val="0"/>
          <w:color w:val="000000" w:themeColor="text1"/>
        </w:rPr>
        <w:t>Vine, J</w:t>
      </w:r>
      <w:r w:rsidRPr="0039026A">
        <w:rPr>
          <w:rFonts w:cs="Arial"/>
          <w:color w:val="000000" w:themeColor="text1"/>
        </w:rPr>
        <w:t xml:space="preserve"> (2014) 'Quantifying </w:t>
      </w:r>
      <w:proofErr w:type="spellStart"/>
      <w:r w:rsidRPr="0039026A">
        <w:rPr>
          <w:rFonts w:cs="Arial"/>
          <w:color w:val="000000" w:themeColor="text1"/>
        </w:rPr>
        <w:t>residualisation</w:t>
      </w:r>
      <w:proofErr w:type="spellEnd"/>
      <w:r w:rsidRPr="0039026A">
        <w:rPr>
          <w:rFonts w:cs="Arial"/>
          <w:color w:val="000000" w:themeColor="text1"/>
        </w:rPr>
        <w:t xml:space="preserve">: The changing nature of social housing in the UK' </w:t>
      </w:r>
      <w:r w:rsidRPr="0039026A">
        <w:rPr>
          <w:rFonts w:cs="Arial"/>
          <w:i/>
          <w:color w:val="000000" w:themeColor="text1"/>
        </w:rPr>
        <w:t>Journal of Housing and the Built Environment</w:t>
      </w:r>
      <w:r w:rsidRPr="0039026A">
        <w:rPr>
          <w:rFonts w:cs="Arial"/>
          <w:color w:val="000000" w:themeColor="text1"/>
        </w:rPr>
        <w:t>, 29(4)</w:t>
      </w:r>
      <w:r w:rsidR="005321AF">
        <w:rPr>
          <w:rFonts w:cs="Arial"/>
          <w:color w:val="000000" w:themeColor="text1"/>
        </w:rPr>
        <w:t xml:space="preserve"> pp</w:t>
      </w:r>
      <w:r w:rsidRPr="0039026A">
        <w:rPr>
          <w:rFonts w:cs="Arial"/>
          <w:color w:val="000000" w:themeColor="text1"/>
        </w:rPr>
        <w:t>657-675</w:t>
      </w:r>
    </w:p>
  </w:endnote>
  <w:endnote w:id="7">
    <w:p w:rsidR="0039026A" w:rsidRPr="006C324C" w:rsidRDefault="00193BA6" w:rsidP="00E552BC">
      <w:pPr>
        <w:spacing w:before="0" w:after="368"/>
        <w:outlineLvl w:val="0"/>
        <w:rPr>
          <w:rFonts w:asciiTheme="minorHAnsi" w:hAnsiTheme="minorHAnsi"/>
          <w:sz w:val="22"/>
          <w:szCs w:val="22"/>
        </w:rPr>
      </w:pPr>
      <w:r w:rsidRPr="0039026A">
        <w:rPr>
          <w:rStyle w:val="EndnoteReference"/>
          <w:rFonts w:asciiTheme="minorHAnsi" w:hAnsiTheme="minorHAnsi"/>
          <w:sz w:val="20"/>
          <w:szCs w:val="20"/>
        </w:rPr>
        <w:endnoteRef/>
      </w:r>
      <w:r w:rsidRPr="0039026A">
        <w:rPr>
          <w:rFonts w:asciiTheme="minorHAnsi" w:hAnsiTheme="minorHAnsi"/>
          <w:sz w:val="20"/>
          <w:szCs w:val="20"/>
        </w:rPr>
        <w:t xml:space="preserve"> </w:t>
      </w:r>
      <w:r w:rsidR="00F44CE7" w:rsidRPr="0039026A">
        <w:rPr>
          <w:rFonts w:asciiTheme="minorHAnsi" w:eastAsiaTheme="minorHAnsi" w:hAnsiTheme="minorHAnsi" w:cstheme="minorBidi"/>
          <w:sz w:val="20"/>
          <w:szCs w:val="20"/>
          <w:lang w:val="en-US"/>
        </w:rPr>
        <w:t xml:space="preserve">Hills, J; Brewer, M; Jenkins, S; Lister, R; Lupton, R; </w:t>
      </w:r>
      <w:proofErr w:type="spellStart"/>
      <w:r w:rsidR="00F44CE7" w:rsidRPr="0039026A">
        <w:rPr>
          <w:rFonts w:asciiTheme="minorHAnsi" w:eastAsiaTheme="minorHAnsi" w:hAnsiTheme="minorHAnsi" w:cstheme="minorBidi"/>
          <w:sz w:val="20"/>
          <w:szCs w:val="20"/>
          <w:lang w:val="en-US"/>
        </w:rPr>
        <w:t>Machin</w:t>
      </w:r>
      <w:proofErr w:type="spellEnd"/>
      <w:r w:rsidR="00F44CE7" w:rsidRPr="0039026A">
        <w:rPr>
          <w:rFonts w:asciiTheme="minorHAnsi" w:eastAsiaTheme="minorHAnsi" w:hAnsiTheme="minorHAnsi" w:cstheme="minorBidi"/>
          <w:sz w:val="20"/>
          <w:szCs w:val="20"/>
          <w:lang w:val="en-US"/>
        </w:rPr>
        <w:t xml:space="preserve">, S; Mills, C; </w:t>
      </w:r>
      <w:proofErr w:type="spellStart"/>
      <w:r w:rsidR="00F44CE7" w:rsidRPr="0039026A">
        <w:rPr>
          <w:rFonts w:asciiTheme="minorHAnsi" w:eastAsiaTheme="minorHAnsi" w:hAnsiTheme="minorHAnsi" w:cstheme="minorBidi"/>
          <w:sz w:val="20"/>
          <w:szCs w:val="20"/>
          <w:lang w:val="en-US"/>
        </w:rPr>
        <w:t>Modood</w:t>
      </w:r>
      <w:proofErr w:type="spellEnd"/>
      <w:r w:rsidR="00F44CE7" w:rsidRPr="0039026A">
        <w:rPr>
          <w:rFonts w:asciiTheme="minorHAnsi" w:eastAsiaTheme="minorHAnsi" w:hAnsiTheme="minorHAnsi" w:cstheme="minorBidi"/>
          <w:sz w:val="20"/>
          <w:szCs w:val="20"/>
          <w:lang w:val="en-US"/>
        </w:rPr>
        <w:t xml:space="preserve">, T; Rees, T and Riddell, S. (2010) </w:t>
      </w:r>
      <w:r w:rsidR="00F44CE7" w:rsidRPr="0039026A">
        <w:rPr>
          <w:rFonts w:asciiTheme="minorHAnsi" w:eastAsiaTheme="minorHAnsi" w:hAnsiTheme="minorHAnsi" w:cstheme="minorBidi"/>
          <w:i/>
          <w:sz w:val="20"/>
          <w:szCs w:val="20"/>
          <w:lang w:val="en-US"/>
        </w:rPr>
        <w:t>An anatomy of economic inequality in the UK: The report of the National Equality Panel</w:t>
      </w:r>
      <w:r w:rsidR="00F44CE7" w:rsidRPr="0039026A">
        <w:rPr>
          <w:rFonts w:asciiTheme="minorHAnsi" w:eastAsiaTheme="minorHAnsi" w:hAnsiTheme="minorHAnsi" w:cstheme="minorBidi"/>
          <w:sz w:val="20"/>
          <w:szCs w:val="20"/>
          <w:lang w:val="en-US"/>
        </w:rPr>
        <w:t xml:space="preserve"> London: Government Equalities Office, CLG</w:t>
      </w:r>
    </w:p>
  </w:endnote>
  <w:endnote w:id="8">
    <w:p w:rsidR="00F44CE7" w:rsidRDefault="00F44CE7" w:rsidP="00E552BC">
      <w:pPr>
        <w:pStyle w:val="EndnoteText"/>
      </w:pPr>
      <w:r>
        <w:rPr>
          <w:rStyle w:val="EndnoteReference"/>
        </w:rPr>
        <w:endnoteRef/>
      </w:r>
      <w:r w:rsidR="00D52A7F">
        <w:t xml:space="preserve"> </w:t>
      </w:r>
      <w:proofErr w:type="gramStart"/>
      <w:r w:rsidR="00D52A7F">
        <w:t>Hills et al.</w:t>
      </w:r>
      <w:proofErr w:type="gramEnd"/>
      <w:r w:rsidR="00D52A7F">
        <w:t xml:space="preserve"> </w:t>
      </w:r>
    </w:p>
  </w:endnote>
  <w:endnote w:id="9">
    <w:p w:rsidR="007C1066" w:rsidRDefault="007C1066" w:rsidP="00E552BC">
      <w:pPr>
        <w:pStyle w:val="EndnoteText"/>
      </w:pPr>
      <w:r>
        <w:rPr>
          <w:rStyle w:val="EndnoteReference"/>
        </w:rPr>
        <w:endnoteRef/>
      </w:r>
      <w:r w:rsidR="00D52A7F">
        <w:t xml:space="preserve"> DWP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F6" w:rsidRDefault="00E879F6" w:rsidP="00796DFD">
      <w:pPr>
        <w:spacing w:before="0" w:after="0"/>
      </w:pPr>
      <w:r>
        <w:separator/>
      </w:r>
    </w:p>
  </w:footnote>
  <w:footnote w:type="continuationSeparator" w:id="0">
    <w:p w:rsidR="00E879F6" w:rsidRDefault="00E879F6" w:rsidP="00796DF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FD"/>
    <w:rsid w:val="00007D2E"/>
    <w:rsid w:val="00036057"/>
    <w:rsid w:val="00041ED3"/>
    <w:rsid w:val="0005343A"/>
    <w:rsid w:val="000C2183"/>
    <w:rsid w:val="0012727E"/>
    <w:rsid w:val="00137666"/>
    <w:rsid w:val="00172B1B"/>
    <w:rsid w:val="00193BA6"/>
    <w:rsid w:val="001F6FD2"/>
    <w:rsid w:val="00281DED"/>
    <w:rsid w:val="00342588"/>
    <w:rsid w:val="0039026A"/>
    <w:rsid w:val="004217DE"/>
    <w:rsid w:val="0044103A"/>
    <w:rsid w:val="00466D72"/>
    <w:rsid w:val="004843FA"/>
    <w:rsid w:val="004A6311"/>
    <w:rsid w:val="00511F36"/>
    <w:rsid w:val="005321AF"/>
    <w:rsid w:val="00560276"/>
    <w:rsid w:val="00575C12"/>
    <w:rsid w:val="005E6DD4"/>
    <w:rsid w:val="005F0FEC"/>
    <w:rsid w:val="00600A5A"/>
    <w:rsid w:val="006A771E"/>
    <w:rsid w:val="006C324C"/>
    <w:rsid w:val="00702FC6"/>
    <w:rsid w:val="00711DD9"/>
    <w:rsid w:val="00796DFD"/>
    <w:rsid w:val="007A4CE8"/>
    <w:rsid w:val="007A586C"/>
    <w:rsid w:val="007B30E3"/>
    <w:rsid w:val="007C1066"/>
    <w:rsid w:val="007D6A35"/>
    <w:rsid w:val="008163CB"/>
    <w:rsid w:val="008C483C"/>
    <w:rsid w:val="00941FEC"/>
    <w:rsid w:val="009A19DE"/>
    <w:rsid w:val="009A73FD"/>
    <w:rsid w:val="009E21AA"/>
    <w:rsid w:val="009E2CD1"/>
    <w:rsid w:val="00A1715E"/>
    <w:rsid w:val="00AC74E9"/>
    <w:rsid w:val="00AD6725"/>
    <w:rsid w:val="00AE2B9D"/>
    <w:rsid w:val="00AF7FBA"/>
    <w:rsid w:val="00B315B4"/>
    <w:rsid w:val="00B95734"/>
    <w:rsid w:val="00BD55F7"/>
    <w:rsid w:val="00C0500E"/>
    <w:rsid w:val="00C30D8B"/>
    <w:rsid w:val="00C476FA"/>
    <w:rsid w:val="00C5520D"/>
    <w:rsid w:val="00C66511"/>
    <w:rsid w:val="00C72C26"/>
    <w:rsid w:val="00D50563"/>
    <w:rsid w:val="00D52A7F"/>
    <w:rsid w:val="00D6281B"/>
    <w:rsid w:val="00DC4D40"/>
    <w:rsid w:val="00DE338D"/>
    <w:rsid w:val="00E456E0"/>
    <w:rsid w:val="00E552BC"/>
    <w:rsid w:val="00E879F6"/>
    <w:rsid w:val="00ED3299"/>
    <w:rsid w:val="00F44CE7"/>
    <w:rsid w:val="00F4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D"/>
    <w:pPr>
      <w:spacing w:before="120" w:after="120" w:line="240" w:lineRule="auto"/>
    </w:pPr>
    <w:rPr>
      <w:rFonts w:ascii="Microsoft Sans Serif" w:eastAsia="Times New Roman" w:hAnsi="Microsoft Sans Serif" w:cs="Times New Roman"/>
      <w:sz w:val="24"/>
      <w:szCs w:val="24"/>
      <w:lang w:val="en-GB"/>
    </w:rPr>
  </w:style>
  <w:style w:type="paragraph" w:styleId="Heading3">
    <w:name w:val="heading 3"/>
    <w:basedOn w:val="Normal"/>
    <w:next w:val="Normal"/>
    <w:link w:val="Heading3Char"/>
    <w:uiPriority w:val="9"/>
    <w:unhideWhenUsed/>
    <w:qFormat/>
    <w:rsid w:val="00796DFD"/>
    <w:pPr>
      <w:keepNext/>
      <w:keepLines/>
      <w:spacing w:before="40" w:after="0"/>
      <w:outlineLvl w:val="2"/>
    </w:pPr>
    <w:rPr>
      <w:rFonts w:eastAsiaTheme="majorEastAsia"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DFD"/>
    <w:rPr>
      <w:rFonts w:ascii="Microsoft Sans Serif" w:eastAsiaTheme="majorEastAsia" w:hAnsi="Microsoft Sans Serif" w:cstheme="majorBidi"/>
      <w:b/>
      <w:color w:val="000000" w:themeColor="text1"/>
      <w:sz w:val="32"/>
      <w:szCs w:val="24"/>
      <w:lang w:val="en-GB"/>
    </w:rPr>
  </w:style>
  <w:style w:type="paragraph" w:styleId="FootnoteText">
    <w:name w:val="footnote text"/>
    <w:aliases w:val="Tekst przypisu,Tekst przypisu Znak Znak Znak Znak,Tekst przypisu Znak Znak Znak Znak Znak,Tekst przypisu Znak Znak Znak Znak Znak Znak Znak,Tekst przypisu Znak Znak Znak Znak Znak Znak Znak Znak Zn,Text poznámky pod čiarou 007,C,footnote"/>
    <w:basedOn w:val="Normal"/>
    <w:link w:val="FootnoteTextChar"/>
    <w:uiPriority w:val="99"/>
    <w:qFormat/>
    <w:rsid w:val="00796DFD"/>
    <w:rPr>
      <w:sz w:val="20"/>
      <w:szCs w:val="20"/>
    </w:rPr>
  </w:style>
  <w:style w:type="character" w:customStyle="1" w:styleId="FootnoteTextChar">
    <w:name w:val="Footnote Text Char"/>
    <w:aliases w:val="Tekst przypisu Char,Tekst przypisu Znak Znak Znak Znak Char,Tekst przypisu Znak Znak Znak Znak Znak Char,Tekst przypisu Znak Znak Znak Znak Znak Znak Znak Char,Tekst przypisu Znak Znak Znak Znak Znak Znak Znak Znak Zn Char,C Char"/>
    <w:basedOn w:val="DefaultParagraphFont"/>
    <w:link w:val="FootnoteText"/>
    <w:uiPriority w:val="99"/>
    <w:rsid w:val="00796DFD"/>
    <w:rPr>
      <w:rFonts w:ascii="Microsoft Sans Serif" w:eastAsia="Times New Roman" w:hAnsi="Microsoft Sans Serif" w:cs="Times New Roman"/>
      <w:sz w:val="20"/>
      <w:szCs w:val="20"/>
      <w:lang w:val="en-GB"/>
    </w:rPr>
  </w:style>
  <w:style w:type="character" w:styleId="FootnoteReference">
    <w:name w:val="footnote reference"/>
    <w:aliases w:val="Footnotes refss,Fussnota,Footnote symbol,-E Fußnotenzeichen,stylish,Footnote Refernece,BVI fnr,Fußnotenzeichen_Raxen,callout,Footnote Reference Number,Appel note de bas de p,Footnote Reference Superscript,Times 10 Point,E FNZ, BVI fnr"/>
    <w:basedOn w:val="DefaultParagraphFont"/>
    <w:link w:val="FootnoteReferneceCarcter"/>
    <w:uiPriority w:val="99"/>
    <w:rsid w:val="00796DFD"/>
    <w:rPr>
      <w:vertAlign w:val="superscript"/>
    </w:rPr>
  </w:style>
  <w:style w:type="table" w:styleId="TableGrid">
    <w:name w:val="Table Grid"/>
    <w:basedOn w:val="TableNormal"/>
    <w:rsid w:val="00796DF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neceCarcter">
    <w:name w:val="Footnote Refernece Carácter"/>
    <w:aliases w:val="ftref Carácter,4_G Carácter"/>
    <w:basedOn w:val="Normal"/>
    <w:link w:val="FootnoteReference"/>
    <w:rsid w:val="00796DFD"/>
    <w:pPr>
      <w:spacing w:after="160" w:line="240" w:lineRule="exact"/>
      <w:jc w:val="both"/>
    </w:pPr>
    <w:rPr>
      <w:rFonts w:asciiTheme="minorHAnsi" w:eastAsiaTheme="minorHAnsi" w:hAnsiTheme="minorHAnsi" w:cstheme="minorBidi"/>
      <w:sz w:val="22"/>
      <w:szCs w:val="22"/>
      <w:vertAlign w:val="superscript"/>
      <w:lang w:val="en-US"/>
    </w:rPr>
  </w:style>
  <w:style w:type="paragraph" w:styleId="EndnoteText">
    <w:name w:val="endnote text"/>
    <w:basedOn w:val="Normal"/>
    <w:link w:val="EndnoteTextChar"/>
    <w:uiPriority w:val="99"/>
    <w:semiHidden/>
    <w:unhideWhenUsed/>
    <w:rsid w:val="00193BA6"/>
    <w:pPr>
      <w:spacing w:before="0" w:after="0"/>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193BA6"/>
    <w:rPr>
      <w:sz w:val="20"/>
      <w:szCs w:val="20"/>
    </w:rPr>
  </w:style>
  <w:style w:type="character" w:styleId="EndnoteReference">
    <w:name w:val="endnote reference"/>
    <w:basedOn w:val="DefaultParagraphFont"/>
    <w:uiPriority w:val="99"/>
    <w:semiHidden/>
    <w:unhideWhenUsed/>
    <w:rsid w:val="00193BA6"/>
    <w:rPr>
      <w:vertAlign w:val="superscript"/>
    </w:rPr>
  </w:style>
  <w:style w:type="paragraph" w:styleId="BalloonText">
    <w:name w:val="Balloon Text"/>
    <w:basedOn w:val="Normal"/>
    <w:link w:val="BalloonTextChar"/>
    <w:uiPriority w:val="99"/>
    <w:semiHidden/>
    <w:unhideWhenUsed/>
    <w:rsid w:val="00193BA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A6"/>
    <w:rPr>
      <w:rFonts w:ascii="Tahoma" w:eastAsia="Times New Roman" w:hAnsi="Tahoma" w:cs="Tahoma"/>
      <w:sz w:val="16"/>
      <w:szCs w:val="16"/>
      <w:lang w:val="en-GB"/>
    </w:rPr>
  </w:style>
  <w:style w:type="character" w:styleId="Hyperlink">
    <w:name w:val="Hyperlink"/>
    <w:basedOn w:val="DefaultParagraphFont"/>
    <w:uiPriority w:val="99"/>
    <w:rsid w:val="0012727E"/>
    <w:rPr>
      <w:color w:val="0000FF"/>
      <w:u w:val="single"/>
    </w:rPr>
  </w:style>
  <w:style w:type="character" w:customStyle="1" w:styleId="personname2">
    <w:name w:val="person_name2"/>
    <w:basedOn w:val="DefaultParagraphFont"/>
    <w:rsid w:val="009E2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FD"/>
    <w:pPr>
      <w:spacing w:before="120" w:after="120" w:line="240" w:lineRule="auto"/>
    </w:pPr>
    <w:rPr>
      <w:rFonts w:ascii="Microsoft Sans Serif" w:eastAsia="Times New Roman" w:hAnsi="Microsoft Sans Serif" w:cs="Times New Roman"/>
      <w:sz w:val="24"/>
      <w:szCs w:val="24"/>
      <w:lang w:val="en-GB"/>
    </w:rPr>
  </w:style>
  <w:style w:type="paragraph" w:styleId="Heading3">
    <w:name w:val="heading 3"/>
    <w:basedOn w:val="Normal"/>
    <w:next w:val="Normal"/>
    <w:link w:val="Heading3Char"/>
    <w:uiPriority w:val="9"/>
    <w:unhideWhenUsed/>
    <w:qFormat/>
    <w:rsid w:val="00796DFD"/>
    <w:pPr>
      <w:keepNext/>
      <w:keepLines/>
      <w:spacing w:before="40" w:after="0"/>
      <w:outlineLvl w:val="2"/>
    </w:pPr>
    <w:rPr>
      <w:rFonts w:eastAsiaTheme="majorEastAsia" w:cstheme="majorBidi"/>
      <w:b/>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DFD"/>
    <w:rPr>
      <w:rFonts w:ascii="Microsoft Sans Serif" w:eastAsiaTheme="majorEastAsia" w:hAnsi="Microsoft Sans Serif" w:cstheme="majorBidi"/>
      <w:b/>
      <w:color w:val="000000" w:themeColor="text1"/>
      <w:sz w:val="32"/>
      <w:szCs w:val="24"/>
      <w:lang w:val="en-GB"/>
    </w:rPr>
  </w:style>
  <w:style w:type="paragraph" w:styleId="FootnoteText">
    <w:name w:val="footnote text"/>
    <w:aliases w:val="Tekst przypisu,Tekst przypisu Znak Znak Znak Znak,Tekst przypisu Znak Znak Znak Znak Znak,Tekst przypisu Znak Znak Znak Znak Znak Znak Znak,Tekst przypisu Znak Znak Znak Znak Znak Znak Znak Znak Zn,Text poznámky pod čiarou 007,C,footnote"/>
    <w:basedOn w:val="Normal"/>
    <w:link w:val="FootnoteTextChar"/>
    <w:uiPriority w:val="99"/>
    <w:qFormat/>
    <w:rsid w:val="00796DFD"/>
    <w:rPr>
      <w:sz w:val="20"/>
      <w:szCs w:val="20"/>
    </w:rPr>
  </w:style>
  <w:style w:type="character" w:customStyle="1" w:styleId="FootnoteTextChar">
    <w:name w:val="Footnote Text Char"/>
    <w:aliases w:val="Tekst przypisu Char,Tekst przypisu Znak Znak Znak Znak Char,Tekst przypisu Znak Znak Znak Znak Znak Char,Tekst przypisu Znak Znak Znak Znak Znak Znak Znak Char,Tekst przypisu Znak Znak Znak Znak Znak Znak Znak Znak Zn Char,C Char"/>
    <w:basedOn w:val="DefaultParagraphFont"/>
    <w:link w:val="FootnoteText"/>
    <w:uiPriority w:val="99"/>
    <w:rsid w:val="00796DFD"/>
    <w:rPr>
      <w:rFonts w:ascii="Microsoft Sans Serif" w:eastAsia="Times New Roman" w:hAnsi="Microsoft Sans Serif" w:cs="Times New Roman"/>
      <w:sz w:val="20"/>
      <w:szCs w:val="20"/>
      <w:lang w:val="en-GB"/>
    </w:rPr>
  </w:style>
  <w:style w:type="character" w:styleId="FootnoteReference">
    <w:name w:val="footnote reference"/>
    <w:aliases w:val="Footnotes refss,Fussnota,Footnote symbol,-E Fußnotenzeichen,stylish,Footnote Refernece,BVI fnr,Fußnotenzeichen_Raxen,callout,Footnote Reference Number,Appel note de bas de p,Footnote Reference Superscript,Times 10 Point,E FNZ, BVI fnr"/>
    <w:basedOn w:val="DefaultParagraphFont"/>
    <w:link w:val="FootnoteReferneceCarcter"/>
    <w:uiPriority w:val="99"/>
    <w:rsid w:val="00796DFD"/>
    <w:rPr>
      <w:vertAlign w:val="superscript"/>
    </w:rPr>
  </w:style>
  <w:style w:type="table" w:styleId="TableGrid">
    <w:name w:val="Table Grid"/>
    <w:basedOn w:val="TableNormal"/>
    <w:rsid w:val="00796DF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ReferneceCarcter">
    <w:name w:val="Footnote Refernece Carácter"/>
    <w:aliases w:val="ftref Carácter,4_G Carácter"/>
    <w:basedOn w:val="Normal"/>
    <w:link w:val="FootnoteReference"/>
    <w:rsid w:val="00796DFD"/>
    <w:pPr>
      <w:spacing w:after="160" w:line="240" w:lineRule="exact"/>
      <w:jc w:val="both"/>
    </w:pPr>
    <w:rPr>
      <w:rFonts w:asciiTheme="minorHAnsi" w:eastAsiaTheme="minorHAnsi" w:hAnsiTheme="minorHAnsi" w:cstheme="minorBidi"/>
      <w:sz w:val="22"/>
      <w:szCs w:val="22"/>
      <w:vertAlign w:val="superscript"/>
      <w:lang w:val="en-US"/>
    </w:rPr>
  </w:style>
  <w:style w:type="paragraph" w:styleId="EndnoteText">
    <w:name w:val="endnote text"/>
    <w:basedOn w:val="Normal"/>
    <w:link w:val="EndnoteTextChar"/>
    <w:uiPriority w:val="99"/>
    <w:semiHidden/>
    <w:unhideWhenUsed/>
    <w:rsid w:val="00193BA6"/>
    <w:pPr>
      <w:spacing w:before="0" w:after="0"/>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193BA6"/>
    <w:rPr>
      <w:sz w:val="20"/>
      <w:szCs w:val="20"/>
    </w:rPr>
  </w:style>
  <w:style w:type="character" w:styleId="EndnoteReference">
    <w:name w:val="endnote reference"/>
    <w:basedOn w:val="DefaultParagraphFont"/>
    <w:uiPriority w:val="99"/>
    <w:semiHidden/>
    <w:unhideWhenUsed/>
    <w:rsid w:val="00193BA6"/>
    <w:rPr>
      <w:vertAlign w:val="superscript"/>
    </w:rPr>
  </w:style>
  <w:style w:type="paragraph" w:styleId="BalloonText">
    <w:name w:val="Balloon Text"/>
    <w:basedOn w:val="Normal"/>
    <w:link w:val="BalloonTextChar"/>
    <w:uiPriority w:val="99"/>
    <w:semiHidden/>
    <w:unhideWhenUsed/>
    <w:rsid w:val="00193BA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BA6"/>
    <w:rPr>
      <w:rFonts w:ascii="Tahoma" w:eastAsia="Times New Roman" w:hAnsi="Tahoma" w:cs="Tahoma"/>
      <w:sz w:val="16"/>
      <w:szCs w:val="16"/>
      <w:lang w:val="en-GB"/>
    </w:rPr>
  </w:style>
  <w:style w:type="character" w:styleId="Hyperlink">
    <w:name w:val="Hyperlink"/>
    <w:basedOn w:val="DefaultParagraphFont"/>
    <w:uiPriority w:val="99"/>
    <w:rsid w:val="0012727E"/>
    <w:rPr>
      <w:color w:val="0000FF"/>
      <w:u w:val="single"/>
    </w:rPr>
  </w:style>
  <w:style w:type="character" w:customStyle="1" w:styleId="personname2">
    <w:name w:val="person_name2"/>
    <w:basedOn w:val="DefaultParagraphFont"/>
    <w:rsid w:val="009E2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ecky\Documents\BOOK%202018%20tenure%20trend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ecky\Documents\MHCLG\New%20pop%20table%20on%20odds%20rati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cky\Documents\MHCLG\New%20pop%20table%20on%20odds%20rat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'FT1101'!$B$159</c:f>
              <c:strCache>
                <c:ptCount val="1"/>
                <c:pt idx="0">
                  <c:v>Home ownership</c:v>
                </c:pt>
              </c:strCache>
            </c:strRef>
          </c:tx>
          <c:marker>
            <c:symbol val="none"/>
          </c:marker>
          <c:cat>
            <c:strRef>
              <c:f>'FT1101'!$A$160:$A$169</c:f>
              <c:strCache>
                <c:ptCount val="10"/>
                <c:pt idx="0">
                  <c:v>1918</c:v>
                </c:pt>
                <c:pt idx="1">
                  <c:v>1939</c:v>
                </c:pt>
                <c:pt idx="2">
                  <c:v>1953</c:v>
                </c:pt>
                <c:pt idx="3">
                  <c:v>1961</c:v>
                </c:pt>
                <c:pt idx="4">
                  <c:v>1971</c:v>
                </c:pt>
                <c:pt idx="5">
                  <c:v>1981</c:v>
                </c:pt>
                <c:pt idx="6">
                  <c:v>1991</c:v>
                </c:pt>
                <c:pt idx="7">
                  <c:v>2001</c:v>
                </c:pt>
                <c:pt idx="8">
                  <c:v>2010- 11</c:v>
                </c:pt>
                <c:pt idx="9">
                  <c:v>2015-16</c:v>
                </c:pt>
              </c:strCache>
            </c:strRef>
          </c:cat>
          <c:val>
            <c:numRef>
              <c:f>'FT1101'!$B$160:$B$169</c:f>
              <c:numCache>
                <c:formatCode>General</c:formatCode>
                <c:ptCount val="10"/>
                <c:pt idx="0">
                  <c:v>0.23</c:v>
                </c:pt>
                <c:pt idx="1">
                  <c:v>0.32</c:v>
                </c:pt>
                <c:pt idx="2">
                  <c:v>0.32</c:v>
                </c:pt>
                <c:pt idx="3">
                  <c:v>0.43</c:v>
                </c:pt>
                <c:pt idx="4">
                  <c:v>0.51</c:v>
                </c:pt>
                <c:pt idx="5">
                  <c:v>0.56999999999999995</c:v>
                </c:pt>
                <c:pt idx="6">
                  <c:v>0.68</c:v>
                </c:pt>
                <c:pt idx="7">
                  <c:v>0.7</c:v>
                </c:pt>
                <c:pt idx="8">
                  <c:v>0.66</c:v>
                </c:pt>
                <c:pt idx="9">
                  <c:v>0.63</c:v>
                </c:pt>
              </c:numCache>
            </c:numRef>
          </c:val>
          <c:smooth val="0"/>
        </c:ser>
        <c:ser>
          <c:idx val="1"/>
          <c:order val="1"/>
          <c:tx>
            <c:strRef>
              <c:f>'FT1101'!$C$159</c:f>
              <c:strCache>
                <c:ptCount val="1"/>
                <c:pt idx="0">
                  <c:v>Social renting</c:v>
                </c:pt>
              </c:strCache>
            </c:strRef>
          </c:tx>
          <c:marker>
            <c:symbol val="none"/>
          </c:marker>
          <c:cat>
            <c:strRef>
              <c:f>'FT1101'!$A$160:$A$169</c:f>
              <c:strCache>
                <c:ptCount val="10"/>
                <c:pt idx="0">
                  <c:v>1918</c:v>
                </c:pt>
                <c:pt idx="1">
                  <c:v>1939</c:v>
                </c:pt>
                <c:pt idx="2">
                  <c:v>1953</c:v>
                </c:pt>
                <c:pt idx="3">
                  <c:v>1961</c:v>
                </c:pt>
                <c:pt idx="4">
                  <c:v>1971</c:v>
                </c:pt>
                <c:pt idx="5">
                  <c:v>1981</c:v>
                </c:pt>
                <c:pt idx="6">
                  <c:v>1991</c:v>
                </c:pt>
                <c:pt idx="7">
                  <c:v>2001</c:v>
                </c:pt>
                <c:pt idx="8">
                  <c:v>2010- 11</c:v>
                </c:pt>
                <c:pt idx="9">
                  <c:v>2015-16</c:v>
                </c:pt>
              </c:strCache>
            </c:strRef>
          </c:cat>
          <c:val>
            <c:numRef>
              <c:f>'FT1101'!$C$160:$C$169</c:f>
              <c:numCache>
                <c:formatCode>General</c:formatCode>
                <c:ptCount val="10"/>
                <c:pt idx="0">
                  <c:v>0.01</c:v>
                </c:pt>
                <c:pt idx="1">
                  <c:v>0.1</c:v>
                </c:pt>
                <c:pt idx="2">
                  <c:v>0.18</c:v>
                </c:pt>
                <c:pt idx="3">
                  <c:v>0.23</c:v>
                </c:pt>
                <c:pt idx="4">
                  <c:v>0.28999999999999998</c:v>
                </c:pt>
                <c:pt idx="5">
                  <c:v>0.32</c:v>
                </c:pt>
                <c:pt idx="6">
                  <c:v>0.23</c:v>
                </c:pt>
                <c:pt idx="7">
                  <c:v>0.2</c:v>
                </c:pt>
                <c:pt idx="8">
                  <c:v>0.17</c:v>
                </c:pt>
                <c:pt idx="9">
                  <c:v>0.17</c:v>
                </c:pt>
              </c:numCache>
            </c:numRef>
          </c:val>
          <c:smooth val="0"/>
        </c:ser>
        <c:ser>
          <c:idx val="2"/>
          <c:order val="2"/>
          <c:tx>
            <c:strRef>
              <c:f>'FT1101'!$D$159</c:f>
              <c:strCache>
                <c:ptCount val="1"/>
                <c:pt idx="0">
                  <c:v>Private renting</c:v>
                </c:pt>
              </c:strCache>
            </c:strRef>
          </c:tx>
          <c:marker>
            <c:symbol val="none"/>
          </c:marker>
          <c:cat>
            <c:strRef>
              <c:f>'FT1101'!$A$160:$A$169</c:f>
              <c:strCache>
                <c:ptCount val="10"/>
                <c:pt idx="0">
                  <c:v>1918</c:v>
                </c:pt>
                <c:pt idx="1">
                  <c:v>1939</c:v>
                </c:pt>
                <c:pt idx="2">
                  <c:v>1953</c:v>
                </c:pt>
                <c:pt idx="3">
                  <c:v>1961</c:v>
                </c:pt>
                <c:pt idx="4">
                  <c:v>1971</c:v>
                </c:pt>
                <c:pt idx="5">
                  <c:v>1981</c:v>
                </c:pt>
                <c:pt idx="6">
                  <c:v>1991</c:v>
                </c:pt>
                <c:pt idx="7">
                  <c:v>2001</c:v>
                </c:pt>
                <c:pt idx="8">
                  <c:v>2010- 11</c:v>
                </c:pt>
                <c:pt idx="9">
                  <c:v>2015-16</c:v>
                </c:pt>
              </c:strCache>
            </c:strRef>
          </c:cat>
          <c:val>
            <c:numRef>
              <c:f>'FT1101'!$D$160:$D$169</c:f>
              <c:numCache>
                <c:formatCode>General</c:formatCode>
                <c:ptCount val="10"/>
                <c:pt idx="0">
                  <c:v>0.76</c:v>
                </c:pt>
                <c:pt idx="1">
                  <c:v>0.57999999999999996</c:v>
                </c:pt>
                <c:pt idx="2">
                  <c:v>0.5</c:v>
                </c:pt>
                <c:pt idx="3">
                  <c:v>0.34</c:v>
                </c:pt>
                <c:pt idx="4">
                  <c:v>0.2</c:v>
                </c:pt>
                <c:pt idx="5">
                  <c:v>0.11</c:v>
                </c:pt>
                <c:pt idx="6">
                  <c:v>0.09</c:v>
                </c:pt>
                <c:pt idx="7">
                  <c:v>0.1</c:v>
                </c:pt>
                <c:pt idx="8">
                  <c:v>0.16</c:v>
                </c:pt>
                <c:pt idx="9">
                  <c:v>0.2</c:v>
                </c:pt>
              </c:numCache>
            </c:numRef>
          </c:val>
          <c:smooth val="0"/>
        </c:ser>
        <c:dLbls>
          <c:showLegendKey val="0"/>
          <c:showVal val="0"/>
          <c:showCatName val="0"/>
          <c:showSerName val="0"/>
          <c:showPercent val="0"/>
          <c:showBubbleSize val="0"/>
        </c:dLbls>
        <c:marker val="1"/>
        <c:smooth val="0"/>
        <c:axId val="212893696"/>
        <c:axId val="212895616"/>
      </c:lineChart>
      <c:catAx>
        <c:axId val="212893696"/>
        <c:scaling>
          <c:orientation val="minMax"/>
        </c:scaling>
        <c:delete val="0"/>
        <c:axPos val="b"/>
        <c:majorTickMark val="out"/>
        <c:minorTickMark val="none"/>
        <c:tickLblPos val="nextTo"/>
        <c:crossAx val="212895616"/>
        <c:crosses val="autoZero"/>
        <c:auto val="1"/>
        <c:lblAlgn val="ctr"/>
        <c:lblOffset val="100"/>
        <c:noMultiLvlLbl val="0"/>
      </c:catAx>
      <c:valAx>
        <c:axId val="212895616"/>
        <c:scaling>
          <c:orientation val="minMax"/>
        </c:scaling>
        <c:delete val="0"/>
        <c:axPos val="l"/>
        <c:majorGridlines/>
        <c:numFmt formatCode="0%" sourceLinked="0"/>
        <c:majorTickMark val="out"/>
        <c:minorTickMark val="none"/>
        <c:tickLblPos val="nextTo"/>
        <c:crossAx val="212893696"/>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'Income to 1984'!$B$20</c:f>
              <c:strCache>
                <c:ptCount val="1"/>
                <c:pt idx="0">
                  <c:v>LA and NT renters</c:v>
                </c:pt>
              </c:strCache>
            </c:strRef>
          </c:tx>
          <c:marker>
            <c:symbol val="none"/>
          </c:marker>
          <c:cat>
            <c:strRef>
              <c:f>'Income to 1984'!$C$19:$N$19</c:f>
              <c:strCache>
                <c:ptCount val="12"/>
                <c:pt idx="0">
                  <c:v>1953/54</c:v>
                </c:pt>
                <c:pt idx="1">
                  <c:v>1963</c:v>
                </c:pt>
                <c:pt idx="2">
                  <c:v>1973</c:v>
                </c:pt>
                <c:pt idx="3">
                  <c:v>1976</c:v>
                </c:pt>
                <c:pt idx="4">
                  <c:v>1979</c:v>
                </c:pt>
                <c:pt idx="5">
                  <c:v>1983</c:v>
                </c:pt>
                <c:pt idx="6">
                  <c:v>1999/00</c:v>
                </c:pt>
                <c:pt idx="7">
                  <c:v>2002/03</c:v>
                </c:pt>
                <c:pt idx="8">
                  <c:v>2004/05</c:v>
                </c:pt>
                <c:pt idx="9">
                  <c:v>2007/08</c:v>
                </c:pt>
                <c:pt idx="10">
                  <c:v>2011/12</c:v>
                </c:pt>
                <c:pt idx="11">
                  <c:v>2015/16</c:v>
                </c:pt>
              </c:strCache>
            </c:strRef>
          </c:cat>
          <c:val>
            <c:numRef>
              <c:f>'Income to 1984'!$C$20:$N$20</c:f>
              <c:numCache>
                <c:formatCode>General</c:formatCode>
                <c:ptCount val="12"/>
                <c:pt idx="0">
                  <c:v>0.89</c:v>
                </c:pt>
                <c:pt idx="1">
                  <c:v>0.86</c:v>
                </c:pt>
                <c:pt idx="2">
                  <c:v>0.73</c:v>
                </c:pt>
                <c:pt idx="3">
                  <c:v>0.72</c:v>
                </c:pt>
                <c:pt idx="4">
                  <c:v>0.61</c:v>
                </c:pt>
                <c:pt idx="5">
                  <c:v>0.45</c:v>
                </c:pt>
              </c:numCache>
            </c:numRef>
          </c:val>
          <c:smooth val="0"/>
        </c:ser>
        <c:ser>
          <c:idx val="1"/>
          <c:order val="1"/>
          <c:tx>
            <c:strRef>
              <c:f>'Income to 1984'!$B$21</c:f>
              <c:strCache>
                <c:ptCount val="1"/>
                <c:pt idx="0">
                  <c:v>Private renters (unfurnished)</c:v>
                </c:pt>
              </c:strCache>
            </c:strRef>
          </c:tx>
          <c:marker>
            <c:symbol val="none"/>
          </c:marker>
          <c:cat>
            <c:strRef>
              <c:f>'Income to 1984'!$C$19:$N$19</c:f>
              <c:strCache>
                <c:ptCount val="12"/>
                <c:pt idx="0">
                  <c:v>1953/54</c:v>
                </c:pt>
                <c:pt idx="1">
                  <c:v>1963</c:v>
                </c:pt>
                <c:pt idx="2">
                  <c:v>1973</c:v>
                </c:pt>
                <c:pt idx="3">
                  <c:v>1976</c:v>
                </c:pt>
                <c:pt idx="4">
                  <c:v>1979</c:v>
                </c:pt>
                <c:pt idx="5">
                  <c:v>1983</c:v>
                </c:pt>
                <c:pt idx="6">
                  <c:v>1999/00</c:v>
                </c:pt>
                <c:pt idx="7">
                  <c:v>2002/03</c:v>
                </c:pt>
                <c:pt idx="8">
                  <c:v>2004/05</c:v>
                </c:pt>
                <c:pt idx="9">
                  <c:v>2007/08</c:v>
                </c:pt>
                <c:pt idx="10">
                  <c:v>2011/12</c:v>
                </c:pt>
                <c:pt idx="11">
                  <c:v>2015/16</c:v>
                </c:pt>
              </c:strCache>
            </c:strRef>
          </c:cat>
          <c:val>
            <c:numRef>
              <c:f>'Income to 1984'!$C$21:$N$21</c:f>
              <c:numCache>
                <c:formatCode>General</c:formatCode>
                <c:ptCount val="12"/>
                <c:pt idx="0">
                  <c:v>0.79</c:v>
                </c:pt>
                <c:pt idx="1">
                  <c:v>0.76</c:v>
                </c:pt>
                <c:pt idx="2">
                  <c:v>0.61</c:v>
                </c:pt>
                <c:pt idx="3">
                  <c:v>0.56000000000000005</c:v>
                </c:pt>
                <c:pt idx="4">
                  <c:v>0.47</c:v>
                </c:pt>
                <c:pt idx="5">
                  <c:v>0.43</c:v>
                </c:pt>
              </c:numCache>
            </c:numRef>
          </c:val>
          <c:smooth val="0"/>
        </c:ser>
        <c:ser>
          <c:idx val="2"/>
          <c:order val="2"/>
          <c:tx>
            <c:strRef>
              <c:f>'Income to 1984'!$B$22</c:f>
              <c:strCache>
                <c:ptCount val="1"/>
                <c:pt idx="0">
                  <c:v>Private renters (furnished)</c:v>
                </c:pt>
              </c:strCache>
            </c:strRef>
          </c:tx>
          <c:marker>
            <c:symbol val="none"/>
          </c:marker>
          <c:cat>
            <c:strRef>
              <c:f>'Income to 1984'!$C$19:$N$19</c:f>
              <c:strCache>
                <c:ptCount val="12"/>
                <c:pt idx="0">
                  <c:v>1953/54</c:v>
                </c:pt>
                <c:pt idx="1">
                  <c:v>1963</c:v>
                </c:pt>
                <c:pt idx="2">
                  <c:v>1973</c:v>
                </c:pt>
                <c:pt idx="3">
                  <c:v>1976</c:v>
                </c:pt>
                <c:pt idx="4">
                  <c:v>1979</c:v>
                </c:pt>
                <c:pt idx="5">
                  <c:v>1983</c:v>
                </c:pt>
                <c:pt idx="6">
                  <c:v>1999/00</c:v>
                </c:pt>
                <c:pt idx="7">
                  <c:v>2002/03</c:v>
                </c:pt>
                <c:pt idx="8">
                  <c:v>2004/05</c:v>
                </c:pt>
                <c:pt idx="9">
                  <c:v>2007/08</c:v>
                </c:pt>
                <c:pt idx="10">
                  <c:v>2011/12</c:v>
                </c:pt>
                <c:pt idx="11">
                  <c:v>2015/16</c:v>
                </c:pt>
              </c:strCache>
            </c:strRef>
          </c:cat>
          <c:val>
            <c:numRef>
              <c:f>'Income to 1984'!$C$22:$N$22</c:f>
              <c:numCache>
                <c:formatCode>General</c:formatCode>
                <c:ptCount val="12"/>
                <c:pt idx="0">
                  <c:v>0.81</c:v>
                </c:pt>
                <c:pt idx="1">
                  <c:v>0.88</c:v>
                </c:pt>
                <c:pt idx="2">
                  <c:v>0.65</c:v>
                </c:pt>
                <c:pt idx="3">
                  <c:v>0.66</c:v>
                </c:pt>
                <c:pt idx="4">
                  <c:v>0.56000000000000005</c:v>
                </c:pt>
                <c:pt idx="5">
                  <c:v>0.44</c:v>
                </c:pt>
              </c:numCache>
            </c:numRef>
          </c:val>
          <c:smooth val="0"/>
        </c:ser>
        <c:ser>
          <c:idx val="3"/>
          <c:order val="3"/>
          <c:tx>
            <c:strRef>
              <c:f>'Income to 1984'!$B$23</c:f>
              <c:strCache>
                <c:ptCount val="1"/>
                <c:pt idx="0">
                  <c:v>All private renters</c:v>
                </c:pt>
              </c:strCache>
            </c:strRef>
          </c:tx>
          <c:spPr>
            <a:ln>
              <a:solidFill>
                <a:srgbClr val="92D050"/>
              </a:solidFill>
              <a:prstDash val="sysDash"/>
            </a:ln>
          </c:spPr>
          <c:marker>
            <c:symbol val="none"/>
          </c:marker>
          <c:cat>
            <c:strRef>
              <c:f>'Income to 1984'!$C$19:$N$19</c:f>
              <c:strCache>
                <c:ptCount val="12"/>
                <c:pt idx="0">
                  <c:v>1953/54</c:v>
                </c:pt>
                <c:pt idx="1">
                  <c:v>1963</c:v>
                </c:pt>
                <c:pt idx="2">
                  <c:v>1973</c:v>
                </c:pt>
                <c:pt idx="3">
                  <c:v>1976</c:v>
                </c:pt>
                <c:pt idx="4">
                  <c:v>1979</c:v>
                </c:pt>
                <c:pt idx="5">
                  <c:v>1983</c:v>
                </c:pt>
                <c:pt idx="6">
                  <c:v>1999/00</c:v>
                </c:pt>
                <c:pt idx="7">
                  <c:v>2002/03</c:v>
                </c:pt>
                <c:pt idx="8">
                  <c:v>2004/05</c:v>
                </c:pt>
                <c:pt idx="9">
                  <c:v>2007/08</c:v>
                </c:pt>
                <c:pt idx="10">
                  <c:v>2011/12</c:v>
                </c:pt>
                <c:pt idx="11">
                  <c:v>2015/16</c:v>
                </c:pt>
              </c:strCache>
            </c:strRef>
          </c:cat>
          <c:val>
            <c:numRef>
              <c:f>'Income to 1984'!$C$23:$N$23</c:f>
              <c:numCache>
                <c:formatCode>General</c:formatCode>
                <c:ptCount val="12"/>
                <c:pt idx="6">
                  <c:v>0.72862453531598514</c:v>
                </c:pt>
                <c:pt idx="7">
                  <c:v>0.66081871345029231</c:v>
                </c:pt>
                <c:pt idx="8">
                  <c:v>0.71454219030520649</c:v>
                </c:pt>
                <c:pt idx="9">
                  <c:v>0.69870698501744555</c:v>
                </c:pt>
                <c:pt idx="10">
                  <c:v>0.74961558175294718</c:v>
                </c:pt>
                <c:pt idx="11">
                  <c:v>0.73204419889502759</c:v>
                </c:pt>
              </c:numCache>
            </c:numRef>
          </c:val>
          <c:smooth val="0"/>
        </c:ser>
        <c:ser>
          <c:idx val="4"/>
          <c:order val="4"/>
          <c:tx>
            <c:strRef>
              <c:f>'Income to 1984'!$B$24</c:f>
              <c:strCache>
                <c:ptCount val="1"/>
                <c:pt idx="0">
                  <c:v>Social renters</c:v>
                </c:pt>
              </c:strCache>
            </c:strRef>
          </c:tx>
          <c:spPr>
            <a:ln>
              <a:solidFill>
                <a:srgbClr val="0070C0"/>
              </a:solidFill>
              <a:prstDash val="sysDash"/>
            </a:ln>
          </c:spPr>
          <c:marker>
            <c:symbol val="none"/>
          </c:marker>
          <c:cat>
            <c:strRef>
              <c:f>'Income to 1984'!$C$19:$N$19</c:f>
              <c:strCache>
                <c:ptCount val="12"/>
                <c:pt idx="0">
                  <c:v>1953/54</c:v>
                </c:pt>
                <c:pt idx="1">
                  <c:v>1963</c:v>
                </c:pt>
                <c:pt idx="2">
                  <c:v>1973</c:v>
                </c:pt>
                <c:pt idx="3">
                  <c:v>1976</c:v>
                </c:pt>
                <c:pt idx="4">
                  <c:v>1979</c:v>
                </c:pt>
                <c:pt idx="5">
                  <c:v>1983</c:v>
                </c:pt>
                <c:pt idx="6">
                  <c:v>1999/00</c:v>
                </c:pt>
                <c:pt idx="7">
                  <c:v>2002/03</c:v>
                </c:pt>
                <c:pt idx="8">
                  <c:v>2004/05</c:v>
                </c:pt>
                <c:pt idx="9">
                  <c:v>2007/08</c:v>
                </c:pt>
                <c:pt idx="10">
                  <c:v>2011/12</c:v>
                </c:pt>
                <c:pt idx="11">
                  <c:v>2015/16</c:v>
                </c:pt>
              </c:strCache>
            </c:strRef>
          </c:cat>
          <c:val>
            <c:numRef>
              <c:f>'Income to 1984'!$C$24:$N$24</c:f>
              <c:numCache>
                <c:formatCode>General</c:formatCode>
                <c:ptCount val="12"/>
                <c:pt idx="6">
                  <c:v>0.33271375464684011</c:v>
                </c:pt>
                <c:pt idx="7">
                  <c:v>0.36062378167641324</c:v>
                </c:pt>
                <c:pt idx="8">
                  <c:v>0.38061041292639142</c:v>
                </c:pt>
                <c:pt idx="9">
                  <c:v>0.37309297393445989</c:v>
                </c:pt>
                <c:pt idx="10">
                  <c:v>0.48971192877524655</c:v>
                </c:pt>
                <c:pt idx="11">
                  <c:v>0.4516574585635359</c:v>
                </c:pt>
              </c:numCache>
            </c:numRef>
          </c:val>
          <c:smooth val="0"/>
        </c:ser>
        <c:dLbls>
          <c:showLegendKey val="0"/>
          <c:showVal val="0"/>
          <c:showCatName val="0"/>
          <c:showSerName val="0"/>
          <c:showPercent val="0"/>
          <c:showBubbleSize val="0"/>
        </c:dLbls>
        <c:marker val="1"/>
        <c:smooth val="0"/>
        <c:axId val="213097472"/>
        <c:axId val="213230720"/>
      </c:lineChart>
      <c:catAx>
        <c:axId val="213097472"/>
        <c:scaling>
          <c:orientation val="minMax"/>
        </c:scaling>
        <c:delete val="0"/>
        <c:axPos val="b"/>
        <c:majorTickMark val="out"/>
        <c:minorTickMark val="none"/>
        <c:tickLblPos val="nextTo"/>
        <c:crossAx val="213230720"/>
        <c:crosses val="autoZero"/>
        <c:auto val="1"/>
        <c:lblAlgn val="ctr"/>
        <c:lblOffset val="100"/>
        <c:noMultiLvlLbl val="0"/>
      </c:catAx>
      <c:valAx>
        <c:axId val="213230720"/>
        <c:scaling>
          <c:orientation val="minMax"/>
          <c:max val="1"/>
        </c:scaling>
        <c:delete val="0"/>
        <c:axPos val="l"/>
        <c:majorGridlines/>
        <c:numFmt formatCode="0%" sourceLinked="0"/>
        <c:majorTickMark val="out"/>
        <c:minorTickMark val="none"/>
        <c:tickLblPos val="nextTo"/>
        <c:crossAx val="213097472"/>
        <c:crosses val="autoZero"/>
        <c:crossBetween val="between"/>
        <c:majorUnit val="0.2"/>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2397933498536E-2"/>
          <c:y val="3.0431998817049277E-2"/>
          <c:w val="0.87799918864890492"/>
          <c:h val="0.6338598942737792"/>
        </c:manualLayout>
      </c:layout>
      <c:lineChart>
        <c:grouping val="standard"/>
        <c:varyColors val="0"/>
        <c:ser>
          <c:idx val="0"/>
          <c:order val="0"/>
          <c:tx>
            <c:strRef>
              <c:f>'Employment status'!$B$280</c:f>
              <c:strCache>
                <c:ptCount val="1"/>
                <c:pt idx="0">
                  <c:v>Economic activity</c:v>
                </c:pt>
              </c:strCache>
            </c:strRef>
          </c:tx>
          <c:marker>
            <c:symbol val="none"/>
          </c:marker>
          <c:cat>
            <c:strRef>
              <c:f>'Employment status'!$C$279:$U$279</c:f>
              <c:strCache>
                <c:ptCount val="19"/>
                <c:pt idx="0">
                  <c:v>1984</c:v>
                </c:pt>
                <c:pt idx="1">
                  <c:v>1999/00</c:v>
                </c:pt>
                <c:pt idx="2">
                  <c:v>2000/01</c:v>
                </c:pt>
                <c:pt idx="3">
                  <c:v>2001/02</c:v>
                </c:pt>
                <c:pt idx="4">
                  <c:v>2003</c:v>
                </c:pt>
                <c:pt idx="5">
                  <c:v>2004</c:v>
                </c:pt>
                <c:pt idx="6">
                  <c:v>2005</c:v>
                </c:pt>
                <c:pt idx="7">
                  <c:v>2006</c:v>
                </c:pt>
                <c:pt idx="8">
                  <c:v>2007</c:v>
                </c:pt>
                <c:pt idx="9">
                  <c:v>2008</c:v>
                </c:pt>
                <c:pt idx="10">
                  <c:v>2008/09</c:v>
                </c:pt>
                <c:pt idx="11">
                  <c:v>2009/10</c:v>
                </c:pt>
                <c:pt idx="12">
                  <c:v>2010/11</c:v>
                </c:pt>
                <c:pt idx="13">
                  <c:v>2011/12</c:v>
                </c:pt>
                <c:pt idx="14">
                  <c:v>2012/13</c:v>
                </c:pt>
                <c:pt idx="15">
                  <c:v>2013/14</c:v>
                </c:pt>
                <c:pt idx="16">
                  <c:v>2014/15</c:v>
                </c:pt>
                <c:pt idx="17">
                  <c:v>2015/16</c:v>
                </c:pt>
                <c:pt idx="18">
                  <c:v>2016/17</c:v>
                </c:pt>
              </c:strCache>
            </c:strRef>
          </c:cat>
          <c:val>
            <c:numRef>
              <c:f>'Employment status'!$C$280:$U$280</c:f>
              <c:numCache>
                <c:formatCode>General</c:formatCode>
                <c:ptCount val="19"/>
                <c:pt idx="0">
                  <c:v>0.72307692307692317</c:v>
                </c:pt>
                <c:pt idx="1">
                  <c:v>0.62903225806451613</c:v>
                </c:pt>
                <c:pt idx="2">
                  <c:v>0.59677419354838712</c:v>
                </c:pt>
                <c:pt idx="3">
                  <c:v>0.58064516129032251</c:v>
                </c:pt>
                <c:pt idx="4">
                  <c:v>0.56451612903225801</c:v>
                </c:pt>
                <c:pt idx="5">
                  <c:v>0.5714285714285714</c:v>
                </c:pt>
                <c:pt idx="6">
                  <c:v>0.578125</c:v>
                </c:pt>
                <c:pt idx="7">
                  <c:v>0.60317460317460314</c:v>
                </c:pt>
                <c:pt idx="8">
                  <c:v>0.60317460317460314</c:v>
                </c:pt>
                <c:pt idx="9">
                  <c:v>0.609375</c:v>
                </c:pt>
                <c:pt idx="10">
                  <c:v>0.6777777777777777</c:v>
                </c:pt>
                <c:pt idx="11">
                  <c:v>0.66498656090100994</c:v>
                </c:pt>
                <c:pt idx="12">
                  <c:v>0.67149058732650635</c:v>
                </c:pt>
                <c:pt idx="13">
                  <c:v>0.68679663044668415</c:v>
                </c:pt>
                <c:pt idx="14">
                  <c:v>0.71350078957787599</c:v>
                </c:pt>
                <c:pt idx="15">
                  <c:v>0.72580924516837042</c:v>
                </c:pt>
                <c:pt idx="16">
                  <c:v>0.74974209606501618</c:v>
                </c:pt>
                <c:pt idx="17">
                  <c:v>0.78888888888888886</c:v>
                </c:pt>
                <c:pt idx="18">
                  <c:v>0.79473905566903891</c:v>
                </c:pt>
              </c:numCache>
            </c:numRef>
          </c:val>
          <c:smooth val="0"/>
        </c:ser>
        <c:ser>
          <c:idx val="1"/>
          <c:order val="1"/>
          <c:tx>
            <c:strRef>
              <c:f>'Employment status'!$B$281</c:f>
              <c:strCache>
                <c:ptCount val="1"/>
                <c:pt idx="0">
                  <c:v>Employment</c:v>
                </c:pt>
              </c:strCache>
            </c:strRef>
          </c:tx>
          <c:marker>
            <c:symbol val="none"/>
          </c:marker>
          <c:cat>
            <c:strRef>
              <c:f>'Employment status'!$C$279:$U$279</c:f>
              <c:strCache>
                <c:ptCount val="19"/>
                <c:pt idx="0">
                  <c:v>1984</c:v>
                </c:pt>
                <c:pt idx="1">
                  <c:v>1999/00</c:v>
                </c:pt>
                <c:pt idx="2">
                  <c:v>2000/01</c:v>
                </c:pt>
                <c:pt idx="3">
                  <c:v>2001/02</c:v>
                </c:pt>
                <c:pt idx="4">
                  <c:v>2003</c:v>
                </c:pt>
                <c:pt idx="5">
                  <c:v>2004</c:v>
                </c:pt>
                <c:pt idx="6">
                  <c:v>2005</c:v>
                </c:pt>
                <c:pt idx="7">
                  <c:v>2006</c:v>
                </c:pt>
                <c:pt idx="8">
                  <c:v>2007</c:v>
                </c:pt>
                <c:pt idx="9">
                  <c:v>2008</c:v>
                </c:pt>
                <c:pt idx="10">
                  <c:v>2008/09</c:v>
                </c:pt>
                <c:pt idx="11">
                  <c:v>2009/10</c:v>
                </c:pt>
                <c:pt idx="12">
                  <c:v>2010/11</c:v>
                </c:pt>
                <c:pt idx="13">
                  <c:v>2011/12</c:v>
                </c:pt>
                <c:pt idx="14">
                  <c:v>2012/13</c:v>
                </c:pt>
                <c:pt idx="15">
                  <c:v>2013/14</c:v>
                </c:pt>
                <c:pt idx="16">
                  <c:v>2014/15</c:v>
                </c:pt>
                <c:pt idx="17">
                  <c:v>2015/16</c:v>
                </c:pt>
                <c:pt idx="18">
                  <c:v>2016/17</c:v>
                </c:pt>
              </c:strCache>
            </c:strRef>
          </c:cat>
          <c:val>
            <c:numRef>
              <c:f>'Employment status'!$C$281:$U$281</c:f>
              <c:numCache>
                <c:formatCode>General</c:formatCode>
                <c:ptCount val="19"/>
                <c:pt idx="0">
                  <c:v>0.66867889482238207</c:v>
                </c:pt>
                <c:pt idx="1">
                  <c:v>0.61016949152542377</c:v>
                </c:pt>
                <c:pt idx="2">
                  <c:v>0.58125000000000004</c:v>
                </c:pt>
                <c:pt idx="3">
                  <c:v>0.58125000000000004</c:v>
                </c:pt>
                <c:pt idx="4">
                  <c:v>0.56923076923076921</c:v>
                </c:pt>
                <c:pt idx="5">
                  <c:v>0.56129190114998773</c:v>
                </c:pt>
                <c:pt idx="6">
                  <c:v>0.57005296100144431</c:v>
                </c:pt>
                <c:pt idx="7">
                  <c:v>0.57939809150966481</c:v>
                </c:pt>
                <c:pt idx="8">
                  <c:v>0.57087753134040498</c:v>
                </c:pt>
                <c:pt idx="9">
                  <c:v>0.57082748948106588</c:v>
                </c:pt>
                <c:pt idx="10">
                  <c:v>0.60922141119221418</c:v>
                </c:pt>
                <c:pt idx="11">
                  <c:v>0.59628144310992348</c:v>
                </c:pt>
                <c:pt idx="12">
                  <c:v>0.57415591710178482</c:v>
                </c:pt>
                <c:pt idx="13">
                  <c:v>0.60510215344986629</c:v>
                </c:pt>
                <c:pt idx="14">
                  <c:v>0.60343530347439256</c:v>
                </c:pt>
                <c:pt idx="15">
                  <c:v>0.63101121911449443</c:v>
                </c:pt>
                <c:pt idx="16">
                  <c:v>0.65042759465921318</c:v>
                </c:pt>
                <c:pt idx="17">
                  <c:v>0.69972237082403288</c:v>
                </c:pt>
                <c:pt idx="18">
                  <c:v>0.69600058722511904</c:v>
                </c:pt>
              </c:numCache>
            </c:numRef>
          </c:val>
          <c:smooth val="0"/>
        </c:ser>
        <c:ser>
          <c:idx val="2"/>
          <c:order val="2"/>
          <c:tx>
            <c:strRef>
              <c:f>'Employment status'!$B$282</c:f>
              <c:strCache>
                <c:ptCount val="1"/>
                <c:pt idx="0">
                  <c:v>Full-time employment</c:v>
                </c:pt>
              </c:strCache>
            </c:strRef>
          </c:tx>
          <c:marker>
            <c:symbol val="none"/>
          </c:marker>
          <c:cat>
            <c:strRef>
              <c:f>'Employment status'!$C$279:$U$279</c:f>
              <c:strCache>
                <c:ptCount val="19"/>
                <c:pt idx="0">
                  <c:v>1984</c:v>
                </c:pt>
                <c:pt idx="1">
                  <c:v>1999/00</c:v>
                </c:pt>
                <c:pt idx="2">
                  <c:v>2000/01</c:v>
                </c:pt>
                <c:pt idx="3">
                  <c:v>2001/02</c:v>
                </c:pt>
                <c:pt idx="4">
                  <c:v>2003</c:v>
                </c:pt>
                <c:pt idx="5">
                  <c:v>2004</c:v>
                </c:pt>
                <c:pt idx="6">
                  <c:v>2005</c:v>
                </c:pt>
                <c:pt idx="7">
                  <c:v>2006</c:v>
                </c:pt>
                <c:pt idx="8">
                  <c:v>2007</c:v>
                </c:pt>
                <c:pt idx="9">
                  <c:v>2008</c:v>
                </c:pt>
                <c:pt idx="10">
                  <c:v>2008/09</c:v>
                </c:pt>
                <c:pt idx="11">
                  <c:v>2009/10</c:v>
                </c:pt>
                <c:pt idx="12">
                  <c:v>2010/11</c:v>
                </c:pt>
                <c:pt idx="13">
                  <c:v>2011/12</c:v>
                </c:pt>
                <c:pt idx="14">
                  <c:v>2012/13</c:v>
                </c:pt>
                <c:pt idx="15">
                  <c:v>2013/14</c:v>
                </c:pt>
                <c:pt idx="16">
                  <c:v>2014/15</c:v>
                </c:pt>
                <c:pt idx="17">
                  <c:v>2015/16</c:v>
                </c:pt>
                <c:pt idx="18">
                  <c:v>2016/17</c:v>
                </c:pt>
              </c:strCache>
            </c:strRef>
          </c:cat>
          <c:val>
            <c:numRef>
              <c:f>'Employment status'!$C$282:$U$282</c:f>
              <c:numCache>
                <c:formatCode>General</c:formatCode>
                <c:ptCount val="19"/>
                <c:pt idx="0">
                  <c:v>0.61768368617683689</c:v>
                </c:pt>
                <c:pt idx="1">
                  <c:v>0.53066037735849059</c:v>
                </c:pt>
                <c:pt idx="2">
                  <c:v>0.47916666666666663</c:v>
                </c:pt>
                <c:pt idx="3">
                  <c:v>0.46698113207547176</c:v>
                </c:pt>
                <c:pt idx="4">
                  <c:v>0.45976331360946743</c:v>
                </c:pt>
                <c:pt idx="5">
                  <c:v>0.44603903559127439</c:v>
                </c:pt>
                <c:pt idx="6">
                  <c:v>0.47930160518163895</c:v>
                </c:pt>
                <c:pt idx="7">
                  <c:v>0.46727898966704934</c:v>
                </c:pt>
                <c:pt idx="8">
                  <c:v>0.4604072398190045</c:v>
                </c:pt>
                <c:pt idx="9">
                  <c:v>0.48564397046759633</c:v>
                </c:pt>
                <c:pt idx="10">
                  <c:v>0.49800673778775972</c:v>
                </c:pt>
                <c:pt idx="11">
                  <c:v>0.48779573728329223</c:v>
                </c:pt>
                <c:pt idx="12">
                  <c:v>0.45350085490738373</c:v>
                </c:pt>
                <c:pt idx="13">
                  <c:v>0.49449886747807764</c:v>
                </c:pt>
                <c:pt idx="14">
                  <c:v>0.46873231438579749</c:v>
                </c:pt>
                <c:pt idx="15">
                  <c:v>0.4844107606895256</c:v>
                </c:pt>
                <c:pt idx="16">
                  <c:v>0.54417648564092214</c:v>
                </c:pt>
                <c:pt idx="17">
                  <c:v>0.58253531341167941</c:v>
                </c:pt>
                <c:pt idx="18">
                  <c:v>0.57502957359253426</c:v>
                </c:pt>
              </c:numCache>
            </c:numRef>
          </c:val>
          <c:smooth val="0"/>
        </c:ser>
        <c:dLbls>
          <c:showLegendKey val="0"/>
          <c:showVal val="0"/>
          <c:showCatName val="0"/>
          <c:showSerName val="0"/>
          <c:showPercent val="0"/>
          <c:showBubbleSize val="0"/>
        </c:dLbls>
        <c:marker val="1"/>
        <c:smooth val="0"/>
        <c:axId val="227188736"/>
        <c:axId val="227190656"/>
      </c:lineChart>
      <c:catAx>
        <c:axId val="227188736"/>
        <c:scaling>
          <c:orientation val="minMax"/>
        </c:scaling>
        <c:delete val="0"/>
        <c:axPos val="b"/>
        <c:numFmt formatCode="General" sourceLinked="1"/>
        <c:majorTickMark val="out"/>
        <c:minorTickMark val="none"/>
        <c:tickLblPos val="nextTo"/>
        <c:crossAx val="227190656"/>
        <c:crosses val="autoZero"/>
        <c:auto val="1"/>
        <c:lblAlgn val="ctr"/>
        <c:lblOffset val="100"/>
        <c:noMultiLvlLbl val="0"/>
      </c:catAx>
      <c:valAx>
        <c:axId val="227190656"/>
        <c:scaling>
          <c:orientation val="minMax"/>
          <c:max val="1"/>
        </c:scaling>
        <c:delete val="0"/>
        <c:axPos val="l"/>
        <c:majorGridlines/>
        <c:numFmt formatCode="0%" sourceLinked="0"/>
        <c:majorTickMark val="out"/>
        <c:minorTickMark val="none"/>
        <c:tickLblPos val="nextTo"/>
        <c:crossAx val="227188736"/>
        <c:crosses val="autoZero"/>
        <c:crossBetween val="between"/>
        <c:majorUnit val="0.2"/>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F109-4324-416F-A3D0-7286FF22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15</cp:revision>
  <dcterms:created xsi:type="dcterms:W3CDTF">2018-02-25T11:13:00Z</dcterms:created>
  <dcterms:modified xsi:type="dcterms:W3CDTF">2018-02-25T15:05:00Z</dcterms:modified>
</cp:coreProperties>
</file>